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91" w:rsidRDefault="00B57D91" w:rsidP="00B57D91">
      <w:pPr>
        <w:spacing w:line="560" w:lineRule="exact"/>
        <w:ind w:firstLineChars="0" w:firstLine="0"/>
        <w:jc w:val="left"/>
        <w:rPr>
          <w:rFonts w:ascii="黑体" w:eastAsia="黑体" w:hAnsi="黑体" w:hint="eastAsia"/>
        </w:rPr>
      </w:pPr>
      <w:r w:rsidRPr="00C3101E">
        <w:rPr>
          <w:rFonts w:ascii="黑体" w:eastAsia="黑体" w:hAnsi="黑体" w:hint="eastAsia"/>
        </w:rPr>
        <w:t>附件</w:t>
      </w:r>
    </w:p>
    <w:p w:rsidR="00B57D91" w:rsidRPr="00C3101E" w:rsidRDefault="00B57D91" w:rsidP="00B57D91">
      <w:pPr>
        <w:spacing w:line="560" w:lineRule="exact"/>
        <w:ind w:firstLineChars="0" w:firstLine="0"/>
        <w:jc w:val="left"/>
        <w:rPr>
          <w:rFonts w:ascii="黑体" w:eastAsia="黑体" w:hAnsi="黑体"/>
        </w:rPr>
      </w:pPr>
    </w:p>
    <w:p w:rsidR="00B57D91" w:rsidRDefault="00B57D91" w:rsidP="00B57D91">
      <w:pPr>
        <w:pStyle w:val="a3"/>
        <w:ind w:firstLine="198"/>
        <w:rPr>
          <w:rFonts w:hint="eastAsia"/>
        </w:rPr>
      </w:pPr>
      <w:r>
        <w:rPr>
          <w:rFonts w:hint="eastAsia"/>
        </w:rPr>
        <w:t>广州市城市更新局调整由区实施的市级行政职权事项</w:t>
      </w:r>
    </w:p>
    <w:p w:rsidR="00B57D91" w:rsidRDefault="00B57D91" w:rsidP="00B57D91">
      <w:pPr>
        <w:pStyle w:val="a3"/>
        <w:ind w:firstLine="198"/>
      </w:pP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850"/>
        <w:gridCol w:w="851"/>
        <w:gridCol w:w="1417"/>
        <w:gridCol w:w="2693"/>
        <w:gridCol w:w="6521"/>
        <w:gridCol w:w="1215"/>
      </w:tblGrid>
      <w:tr w:rsidR="00B57D91" w:rsidRPr="00C3101E" w:rsidTr="00A61C1E">
        <w:trPr>
          <w:trHeight w:val="81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b/>
                <w:color w:val="000000"/>
                <w:sz w:val="21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b/>
                <w:color w:val="000000"/>
                <w:sz w:val="21"/>
                <w:szCs w:val="20"/>
              </w:rPr>
              <w:t>157号令序号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b/>
                <w:color w:val="000000"/>
                <w:sz w:val="21"/>
                <w:szCs w:val="20"/>
              </w:rPr>
              <w:t>类别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b/>
                <w:color w:val="000000"/>
                <w:sz w:val="21"/>
                <w:szCs w:val="20"/>
              </w:rPr>
              <w:t>实施部门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b/>
                <w:color w:val="000000"/>
                <w:sz w:val="21"/>
                <w:szCs w:val="20"/>
              </w:rPr>
              <w:t>事项名称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b/>
                <w:color w:val="000000"/>
                <w:sz w:val="21"/>
                <w:szCs w:val="20"/>
              </w:rPr>
              <w:t>具体内容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b/>
                <w:color w:val="000000"/>
                <w:sz w:val="21"/>
                <w:szCs w:val="20"/>
              </w:rPr>
              <w:t>备注</w:t>
            </w:r>
          </w:p>
        </w:tc>
      </w:tr>
      <w:tr w:rsidR="00B57D91" w:rsidRPr="00C3101E" w:rsidTr="00A61C1E">
        <w:trPr>
          <w:trHeight w:val="183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其他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市城市更新局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pStyle w:val="a4"/>
              <w:spacing w:line="300" w:lineRule="exact"/>
              <w:ind w:firstLineChars="0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城市更新片区策划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和更新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项目实施方案审核权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1.城市更新片区策划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和更新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项目实施方案的审核权下放各行政区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实施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。包括范围划定，征求改造主体的意愿，基础数据调查核查，组织编制方案，组织专家评审，征求市城市更新工作领导小组成员单位意见，审核片区策划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和更新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项目实施方案。</w:t>
            </w:r>
          </w:p>
          <w:p w:rsidR="00B57D91" w:rsidRPr="00851E16" w:rsidRDefault="00B57D91" w:rsidP="00A61C1E">
            <w:pPr>
              <w:spacing w:line="3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2.黄埔区、南沙区、增城区、广州空港经济区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审议通过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城市更新片区策划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和更新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项目实施方案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后办理批复。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</w:p>
        </w:tc>
      </w:tr>
      <w:tr w:rsidR="00B57D91" w:rsidRPr="00C3101E" w:rsidTr="00A61C1E">
        <w:trPr>
          <w:trHeight w:val="81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其他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市城市更新局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pStyle w:val="a4"/>
              <w:spacing w:line="300" w:lineRule="exact"/>
              <w:ind w:left="360"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城市更新年度计划编制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下放各行政区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实施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，委托广州空港经济区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实施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</w:p>
        </w:tc>
      </w:tr>
      <w:tr w:rsidR="00B57D91" w:rsidRPr="00C3101E" w:rsidTr="00A61C1E">
        <w:trPr>
          <w:trHeight w:val="139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其他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Chars="0" w:firstLine="0"/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市城市更新局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 xml:space="preserve">    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符合控</w:t>
            </w:r>
            <w:proofErr w:type="gramStart"/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规</w:t>
            </w:r>
            <w:proofErr w:type="gramEnd"/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及全市产业目录、发展方向的村级工业园和旧厂更新项目的实施方案审核（项目涉及拆除重建的）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下放各行政区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实施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，委托广州空港经济区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实施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</w:p>
        </w:tc>
      </w:tr>
      <w:tr w:rsidR="00B57D91" w:rsidRPr="00C3101E" w:rsidTr="00A61C1E">
        <w:trPr>
          <w:trHeight w:val="78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其他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Chars="0" w:firstLine="0"/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市城市更新局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涉及调整控制性详细规划的城市更新片区策划及实施方案的审批权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下放黄埔区、南沙区、增城区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实施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，委托广州空港经济区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实施</w:t>
            </w: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91" w:rsidRPr="00851E16" w:rsidRDefault="00B57D91" w:rsidP="00A61C1E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1"/>
                <w:szCs w:val="20"/>
              </w:rPr>
            </w:pPr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保持与全市控</w:t>
            </w:r>
            <w:proofErr w:type="gramStart"/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规</w:t>
            </w:r>
            <w:proofErr w:type="gramEnd"/>
            <w:r w:rsidRPr="00851E16">
              <w:rPr>
                <w:rFonts w:ascii="宋体" w:eastAsia="宋体" w:hAnsi="宋体" w:cs="宋体" w:hint="eastAsia"/>
                <w:color w:val="000000"/>
                <w:sz w:val="21"/>
                <w:szCs w:val="20"/>
              </w:rPr>
              <w:t>管理权限一致</w:t>
            </w:r>
          </w:p>
        </w:tc>
      </w:tr>
    </w:tbl>
    <w:p w:rsidR="00B57D91" w:rsidRPr="00C3101E" w:rsidRDefault="00B57D91" w:rsidP="00B57D91">
      <w:pPr>
        <w:spacing w:line="560" w:lineRule="exact"/>
        <w:ind w:firstLineChars="0" w:firstLine="0"/>
        <w:rPr>
          <w:rFonts w:ascii="仿宋_GB2312"/>
        </w:rPr>
        <w:sectPr w:rsidR="00B57D91" w:rsidRPr="00C3101E" w:rsidSect="00C3101E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DD5823" w:rsidRPr="00B57D91" w:rsidRDefault="00DD5823" w:rsidP="00B57D91">
      <w:pPr>
        <w:ind w:firstLine="640"/>
      </w:pPr>
      <w:bookmarkStart w:id="0" w:name="_GoBack"/>
      <w:bookmarkEnd w:id="0"/>
    </w:p>
    <w:sectPr w:rsidR="00DD5823" w:rsidRPr="00B57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91"/>
    <w:rsid w:val="00012E44"/>
    <w:rsid w:val="000324C3"/>
    <w:rsid w:val="000A5AB6"/>
    <w:rsid w:val="000C5676"/>
    <w:rsid w:val="000D580A"/>
    <w:rsid w:val="0011640B"/>
    <w:rsid w:val="001248EF"/>
    <w:rsid w:val="00130B07"/>
    <w:rsid w:val="001350B1"/>
    <w:rsid w:val="0014279E"/>
    <w:rsid w:val="0014388E"/>
    <w:rsid w:val="001442F1"/>
    <w:rsid w:val="00165C3C"/>
    <w:rsid w:val="001660AD"/>
    <w:rsid w:val="001737EA"/>
    <w:rsid w:val="00176181"/>
    <w:rsid w:val="00184E34"/>
    <w:rsid w:val="0018640B"/>
    <w:rsid w:val="00190859"/>
    <w:rsid w:val="00191DE7"/>
    <w:rsid w:val="001A0A3B"/>
    <w:rsid w:val="001B1F00"/>
    <w:rsid w:val="001C3910"/>
    <w:rsid w:val="001C74D6"/>
    <w:rsid w:val="001D1503"/>
    <w:rsid w:val="001E7573"/>
    <w:rsid w:val="001F2685"/>
    <w:rsid w:val="001F5707"/>
    <w:rsid w:val="00233210"/>
    <w:rsid w:val="0025401D"/>
    <w:rsid w:val="00263F92"/>
    <w:rsid w:val="00264B9F"/>
    <w:rsid w:val="00270D7F"/>
    <w:rsid w:val="0027768F"/>
    <w:rsid w:val="00277844"/>
    <w:rsid w:val="00284252"/>
    <w:rsid w:val="002B03AC"/>
    <w:rsid w:val="002B601C"/>
    <w:rsid w:val="002C6386"/>
    <w:rsid w:val="002C66C3"/>
    <w:rsid w:val="002D7184"/>
    <w:rsid w:val="002D74B2"/>
    <w:rsid w:val="002E3C53"/>
    <w:rsid w:val="002F5D8E"/>
    <w:rsid w:val="002F6714"/>
    <w:rsid w:val="002F6E0D"/>
    <w:rsid w:val="002F7D41"/>
    <w:rsid w:val="00305B81"/>
    <w:rsid w:val="00315096"/>
    <w:rsid w:val="00337358"/>
    <w:rsid w:val="00342247"/>
    <w:rsid w:val="00344BCE"/>
    <w:rsid w:val="00350A7C"/>
    <w:rsid w:val="00355A2A"/>
    <w:rsid w:val="00367E3F"/>
    <w:rsid w:val="0037048C"/>
    <w:rsid w:val="003754D3"/>
    <w:rsid w:val="00376901"/>
    <w:rsid w:val="003828A5"/>
    <w:rsid w:val="003864CB"/>
    <w:rsid w:val="003902F7"/>
    <w:rsid w:val="003A545D"/>
    <w:rsid w:val="003B1F75"/>
    <w:rsid w:val="003B4A3F"/>
    <w:rsid w:val="003C6FA0"/>
    <w:rsid w:val="003D126B"/>
    <w:rsid w:val="003D2886"/>
    <w:rsid w:val="003D5BE9"/>
    <w:rsid w:val="003F05BA"/>
    <w:rsid w:val="003F4DFD"/>
    <w:rsid w:val="003F55CB"/>
    <w:rsid w:val="00415219"/>
    <w:rsid w:val="0042435D"/>
    <w:rsid w:val="00435B9B"/>
    <w:rsid w:val="00437E65"/>
    <w:rsid w:val="00461BAB"/>
    <w:rsid w:val="00472780"/>
    <w:rsid w:val="00483F16"/>
    <w:rsid w:val="0049568B"/>
    <w:rsid w:val="004D0613"/>
    <w:rsid w:val="004D0A7E"/>
    <w:rsid w:val="004F4355"/>
    <w:rsid w:val="004F6D83"/>
    <w:rsid w:val="005017BB"/>
    <w:rsid w:val="005105DF"/>
    <w:rsid w:val="005140FC"/>
    <w:rsid w:val="005168C3"/>
    <w:rsid w:val="00517581"/>
    <w:rsid w:val="00541DA2"/>
    <w:rsid w:val="00544E3D"/>
    <w:rsid w:val="005762A4"/>
    <w:rsid w:val="005846B3"/>
    <w:rsid w:val="005A5D26"/>
    <w:rsid w:val="005B2CC8"/>
    <w:rsid w:val="005C4010"/>
    <w:rsid w:val="005C6704"/>
    <w:rsid w:val="005E095B"/>
    <w:rsid w:val="005E0E8D"/>
    <w:rsid w:val="005F2483"/>
    <w:rsid w:val="005F37E7"/>
    <w:rsid w:val="0060690F"/>
    <w:rsid w:val="00606A9B"/>
    <w:rsid w:val="006206FB"/>
    <w:rsid w:val="00637B56"/>
    <w:rsid w:val="00640DCB"/>
    <w:rsid w:val="00641A6C"/>
    <w:rsid w:val="00656A8C"/>
    <w:rsid w:val="00662E03"/>
    <w:rsid w:val="00684C50"/>
    <w:rsid w:val="006A16DD"/>
    <w:rsid w:val="006B00F2"/>
    <w:rsid w:val="006C26E9"/>
    <w:rsid w:val="006C710A"/>
    <w:rsid w:val="006C7C5E"/>
    <w:rsid w:val="006D01E9"/>
    <w:rsid w:val="006D0F92"/>
    <w:rsid w:val="006D3BBF"/>
    <w:rsid w:val="006E25DE"/>
    <w:rsid w:val="006E4346"/>
    <w:rsid w:val="006F64E2"/>
    <w:rsid w:val="00702B22"/>
    <w:rsid w:val="00722B82"/>
    <w:rsid w:val="00724692"/>
    <w:rsid w:val="00725544"/>
    <w:rsid w:val="00735490"/>
    <w:rsid w:val="007404AE"/>
    <w:rsid w:val="00750657"/>
    <w:rsid w:val="00760B39"/>
    <w:rsid w:val="00767116"/>
    <w:rsid w:val="007706CB"/>
    <w:rsid w:val="00796C5C"/>
    <w:rsid w:val="007B228B"/>
    <w:rsid w:val="007C2489"/>
    <w:rsid w:val="007C38AF"/>
    <w:rsid w:val="007D0784"/>
    <w:rsid w:val="00804243"/>
    <w:rsid w:val="00816CB6"/>
    <w:rsid w:val="008249C8"/>
    <w:rsid w:val="0082619E"/>
    <w:rsid w:val="008327D4"/>
    <w:rsid w:val="00832DCB"/>
    <w:rsid w:val="00835E49"/>
    <w:rsid w:val="00852D4F"/>
    <w:rsid w:val="008636AC"/>
    <w:rsid w:val="008A75E1"/>
    <w:rsid w:val="008B4751"/>
    <w:rsid w:val="008C7AE6"/>
    <w:rsid w:val="008D452F"/>
    <w:rsid w:val="008F0EA5"/>
    <w:rsid w:val="00916D1B"/>
    <w:rsid w:val="009248EB"/>
    <w:rsid w:val="00927AA4"/>
    <w:rsid w:val="00955298"/>
    <w:rsid w:val="00957AE5"/>
    <w:rsid w:val="0096593A"/>
    <w:rsid w:val="00985CA0"/>
    <w:rsid w:val="00992769"/>
    <w:rsid w:val="00995F69"/>
    <w:rsid w:val="00996364"/>
    <w:rsid w:val="009A4405"/>
    <w:rsid w:val="009A64B0"/>
    <w:rsid w:val="009C6016"/>
    <w:rsid w:val="009C7884"/>
    <w:rsid w:val="009E09C4"/>
    <w:rsid w:val="009E13F2"/>
    <w:rsid w:val="009E3A19"/>
    <w:rsid w:val="009F01E1"/>
    <w:rsid w:val="00A10728"/>
    <w:rsid w:val="00A10F7D"/>
    <w:rsid w:val="00A137CF"/>
    <w:rsid w:val="00A205C6"/>
    <w:rsid w:val="00A51B89"/>
    <w:rsid w:val="00A5227A"/>
    <w:rsid w:val="00A71F73"/>
    <w:rsid w:val="00AA5BB6"/>
    <w:rsid w:val="00AA6714"/>
    <w:rsid w:val="00AB15B0"/>
    <w:rsid w:val="00AC0497"/>
    <w:rsid w:val="00AF2DC7"/>
    <w:rsid w:val="00AF6889"/>
    <w:rsid w:val="00B10137"/>
    <w:rsid w:val="00B117E5"/>
    <w:rsid w:val="00B14EBF"/>
    <w:rsid w:val="00B173A9"/>
    <w:rsid w:val="00B3562F"/>
    <w:rsid w:val="00B367F2"/>
    <w:rsid w:val="00B43383"/>
    <w:rsid w:val="00B43FC9"/>
    <w:rsid w:val="00B51B0A"/>
    <w:rsid w:val="00B57D91"/>
    <w:rsid w:val="00B64BC5"/>
    <w:rsid w:val="00B650DE"/>
    <w:rsid w:val="00B66EA1"/>
    <w:rsid w:val="00B82D9C"/>
    <w:rsid w:val="00B9560F"/>
    <w:rsid w:val="00BA0451"/>
    <w:rsid w:val="00BC1C46"/>
    <w:rsid w:val="00BF4D26"/>
    <w:rsid w:val="00BF6389"/>
    <w:rsid w:val="00C03CA1"/>
    <w:rsid w:val="00C05B97"/>
    <w:rsid w:val="00C211F7"/>
    <w:rsid w:val="00C222E1"/>
    <w:rsid w:val="00C2373C"/>
    <w:rsid w:val="00C30115"/>
    <w:rsid w:val="00C3797A"/>
    <w:rsid w:val="00C42401"/>
    <w:rsid w:val="00C42DDA"/>
    <w:rsid w:val="00C43343"/>
    <w:rsid w:val="00C52244"/>
    <w:rsid w:val="00C63359"/>
    <w:rsid w:val="00C84158"/>
    <w:rsid w:val="00C94A37"/>
    <w:rsid w:val="00CA2842"/>
    <w:rsid w:val="00CA5086"/>
    <w:rsid w:val="00CA7F1D"/>
    <w:rsid w:val="00CB4849"/>
    <w:rsid w:val="00CD3D3C"/>
    <w:rsid w:val="00CD64E0"/>
    <w:rsid w:val="00CD675B"/>
    <w:rsid w:val="00CD70DC"/>
    <w:rsid w:val="00CE1E26"/>
    <w:rsid w:val="00CE78EB"/>
    <w:rsid w:val="00D222CE"/>
    <w:rsid w:val="00D255CC"/>
    <w:rsid w:val="00D31C77"/>
    <w:rsid w:val="00D32ECA"/>
    <w:rsid w:val="00D3508F"/>
    <w:rsid w:val="00D35DE2"/>
    <w:rsid w:val="00D40024"/>
    <w:rsid w:val="00D42A17"/>
    <w:rsid w:val="00D444FB"/>
    <w:rsid w:val="00D46A72"/>
    <w:rsid w:val="00D47217"/>
    <w:rsid w:val="00D60692"/>
    <w:rsid w:val="00D614F5"/>
    <w:rsid w:val="00D73AC1"/>
    <w:rsid w:val="00DA002F"/>
    <w:rsid w:val="00DA6855"/>
    <w:rsid w:val="00DB065B"/>
    <w:rsid w:val="00DC736A"/>
    <w:rsid w:val="00DD5823"/>
    <w:rsid w:val="00DE71A2"/>
    <w:rsid w:val="00E036EC"/>
    <w:rsid w:val="00E049A2"/>
    <w:rsid w:val="00E21CF5"/>
    <w:rsid w:val="00E24949"/>
    <w:rsid w:val="00E24F49"/>
    <w:rsid w:val="00E26117"/>
    <w:rsid w:val="00E43713"/>
    <w:rsid w:val="00E54DC8"/>
    <w:rsid w:val="00E55C84"/>
    <w:rsid w:val="00E6470C"/>
    <w:rsid w:val="00E762A9"/>
    <w:rsid w:val="00E957F1"/>
    <w:rsid w:val="00EA7066"/>
    <w:rsid w:val="00EB514E"/>
    <w:rsid w:val="00EC2E6A"/>
    <w:rsid w:val="00ED6C5B"/>
    <w:rsid w:val="00EF03CF"/>
    <w:rsid w:val="00EF46B4"/>
    <w:rsid w:val="00EF4BE9"/>
    <w:rsid w:val="00F31C36"/>
    <w:rsid w:val="00F41EA2"/>
    <w:rsid w:val="00F452F2"/>
    <w:rsid w:val="00F61319"/>
    <w:rsid w:val="00F80253"/>
    <w:rsid w:val="00FB4B40"/>
    <w:rsid w:val="00FC0E6A"/>
    <w:rsid w:val="00FD51C4"/>
    <w:rsid w:val="00FE0FF7"/>
    <w:rsid w:val="00FE4A25"/>
    <w:rsid w:val="00FE77DC"/>
    <w:rsid w:val="00FE7B93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9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a"/>
    <w:link w:val="Char"/>
    <w:qFormat/>
    <w:rsid w:val="00B57D91"/>
    <w:pPr>
      <w:spacing w:line="560" w:lineRule="exact"/>
      <w:ind w:firstLineChars="45" w:firstLine="196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Char">
    <w:name w:val="文章标题 Char"/>
    <w:link w:val="a3"/>
    <w:rsid w:val="00B57D91"/>
    <w:rPr>
      <w:rFonts w:ascii="方正小标宋简体" w:eastAsia="方正小标宋简体" w:hAnsi="Times New Roman" w:cs="Times New Roman"/>
      <w:kern w:val="0"/>
      <w:sz w:val="44"/>
      <w:szCs w:val="44"/>
    </w:rPr>
  </w:style>
  <w:style w:type="paragraph" w:styleId="a4">
    <w:name w:val="List Paragraph"/>
    <w:basedOn w:val="a"/>
    <w:uiPriority w:val="34"/>
    <w:qFormat/>
    <w:rsid w:val="00B57D91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9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a"/>
    <w:link w:val="Char"/>
    <w:qFormat/>
    <w:rsid w:val="00B57D91"/>
    <w:pPr>
      <w:spacing w:line="560" w:lineRule="exact"/>
      <w:ind w:firstLineChars="45" w:firstLine="196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Char">
    <w:name w:val="文章标题 Char"/>
    <w:link w:val="a3"/>
    <w:rsid w:val="00B57D91"/>
    <w:rPr>
      <w:rFonts w:ascii="方正小标宋简体" w:eastAsia="方正小标宋简体" w:hAnsi="Times New Roman" w:cs="Times New Roman"/>
      <w:kern w:val="0"/>
      <w:sz w:val="44"/>
      <w:szCs w:val="44"/>
    </w:rPr>
  </w:style>
  <w:style w:type="paragraph" w:styleId="a4">
    <w:name w:val="List Paragraph"/>
    <w:basedOn w:val="a"/>
    <w:uiPriority w:val="34"/>
    <w:qFormat/>
    <w:rsid w:val="00B57D91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季文戎</dc:creator>
  <cp:lastModifiedBy>季文戎</cp:lastModifiedBy>
  <cp:revision>1</cp:revision>
  <dcterms:created xsi:type="dcterms:W3CDTF">2018-03-13T06:48:00Z</dcterms:created>
  <dcterms:modified xsi:type="dcterms:W3CDTF">2018-03-13T06:49:00Z</dcterms:modified>
</cp:coreProperties>
</file>