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44"/>
          <w:szCs w:val="44"/>
        </w:rPr>
        <w:t>广州市知识产权局关于军民融合发展部门规范性文件清理意见表</w:t>
      </w:r>
    </w:p>
    <w:p>
      <w:pPr>
        <w:widowControl/>
        <w:ind w:firstLine="640"/>
        <w:rPr>
          <w:rFonts w:hint="eastAsia" w:ascii="宋体" w:hAnsi="宋体"/>
          <w:kern w:val="0"/>
          <w:szCs w:val="21"/>
        </w:rPr>
      </w:pPr>
    </w:p>
    <w:tbl>
      <w:tblPr>
        <w:tblStyle w:val="3"/>
        <w:tblW w:w="85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196"/>
        <w:gridCol w:w="1545"/>
        <w:gridCol w:w="1755"/>
        <w:gridCol w:w="1335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规范性文件名称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文号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文件查阅网址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清理意见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广州市知识产权局行政处罚听证程序规定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穗知规字〔2017〕2号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"http://113.108.173.86/gzzscq/content/news.jsp?contentId=10536"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http://113.108.173.86/gzzscq/content/news.jsp?contentId=10536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本规范性文件条文不存在影响军民融合发展的情形，无需废止、失效、修改、整合、降密解密，继续有效。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广州市知识产权局规范专利行政执法自由裁量权规定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穗知规字〔2017〕3号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"http://113.108.173.86/gzzscq/content/news.jsp?contentId=10585"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http://113.108.173.86/gzzscq/content/news.jsp?contentId=10585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本规范性文件条文不存在影响军民融合发展的情形，无需废止、失效、修改、整合、降密解密，继续有效。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广州市专利工作专项资金管理办法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穗知规字〔2017〕4号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"http://113.108.173.86/gzzscq/content/news.jsp?contentId=10583"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http://113.108.173.86/gzzscq/content/news.jsp?contentId=10583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本规范性文件条文不存在影响军民融合发展的情形，无需废止、失效、修改、整合、降密解密，继续有效。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广州市重点产业知识产权营运基金管理办法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穗知规字〔2017〕5号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"http://113.108.173.86/gzzscq/content/news.jsp?contentId=10526"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http://113.108.173.86/gzzscq/content/news.jsp?contentId=10526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本规范性文件条文不存在影响军民融合发展的情形，无需废止、失效、修改、整合、降密解密，继续有效。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广州市专利工作专项资金（专项发展资金）项目管理细则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穗知规字〔2016〕2号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"http://113.108.173.86/gzzscq/content/news.jsp?contentId=10535"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http://113.108.173.86/gzzscq/content/news.jsp?contentId=10535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本规范性文件条文不存在影响军民融合发展的情形，无需废止、失效、修改、整合、降密解密，继续有效。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广州市知识产权局专利公共信用信息管理试行办法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穗知规字〔2016〕1号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"http://113.108.173.86/gzzscq/content/news.jsp?contentId=10534"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http://113.108.173.86/gzzscq/content/news.jsp?contentId=10534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本规范性文件条文不存在影响军民融合发展的情形，无需废止、失效、修改、整合、降密解密，继续有效。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广州市保护知识产权市长奖专项资金管理办法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穗知〔2016〕11号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"http://www.gzipo.gov.cn/gzzscq/content/news.jsp?contentId=10532"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http://www.gzipo.gov.cn/gzzscq/content/news.jsp?contentId=10532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本规范性文件条文不存在影响军民融合发展的情形，无需废止、失效、修改、整合、降密解密，继续有效。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19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广州市知识产权质押融资风险补偿基金管理办法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穗知〔2016〕50号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/>
                <w:kern w:val="0"/>
                <w:szCs w:val="21"/>
              </w:rPr>
              <w:fldChar w:fldCharType="begin"/>
            </w:r>
            <w:r>
              <w:rPr>
                <w:rFonts w:cs="宋体"/>
                <w:kern w:val="0"/>
                <w:szCs w:val="21"/>
              </w:rPr>
              <w:instrText xml:space="preserve"> HYPERLINK "http://113.108.173.86/gzzscq/content/news.jsp?contentId=10533" </w:instrText>
            </w:r>
            <w:r>
              <w:rPr>
                <w:rFonts w:cs="宋体"/>
                <w:kern w:val="0"/>
                <w:szCs w:val="21"/>
              </w:rPr>
              <w:fldChar w:fldCharType="separate"/>
            </w:r>
            <w:r>
              <w:rPr>
                <w:rFonts w:cs="宋体"/>
                <w:color w:val="0000FF"/>
                <w:kern w:val="0"/>
                <w:szCs w:val="21"/>
                <w:u w:val="single"/>
              </w:rPr>
              <w:t>http://113.108.173.86/gzzscq/content/news.jsp?contentId=10533</w:t>
            </w:r>
            <w:r>
              <w:rPr>
                <w:rFonts w:cs="宋体"/>
                <w:kern w:val="0"/>
                <w:szCs w:val="21"/>
              </w:rPr>
              <w:fldChar w:fldCharType="end"/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继续有效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>本规范性文件条文不存在影响军民融合发展的情形，无需废止、失效、修改、整合、降密解密，继续有效。</w:t>
            </w:r>
          </w:p>
        </w:tc>
      </w:tr>
    </w:tbl>
    <w:p>
      <w:pPr>
        <w:widowControl/>
        <w:rPr>
          <w:rFonts w:hint="eastAsia" w:ascii="宋体" w:hAnsi="宋体"/>
          <w:kern w:val="0"/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9467B"/>
    <w:rsid w:val="2899467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f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2018-09-21T02:10:00Z</dcterms:created>
  <dc:creator>政务信息</dc:creator>
  <cp:lastModifiedBy>政务信息</cp:lastModifiedBy>
  <dcterms:modified xsi:type="dcterms:W3CDTF">2018-09-21T02:11:47Z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