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EF" w:rsidRPr="00042BF6" w:rsidRDefault="00EA5CBB" w:rsidP="00CC6993">
      <w:pPr>
        <w:spacing w:beforeLines="50" w:afterLines="50" w:line="640" w:lineRule="exact"/>
        <w:ind w:firstLineChars="200" w:firstLine="560"/>
        <w:jc w:val="center"/>
        <w:rPr>
          <w:rStyle w:val="a8"/>
          <w:rFonts w:ascii="黑体" w:eastAsia="黑体" w:hAnsi="黑体" w:cs="Times New Roman"/>
          <w:b w:val="0"/>
          <w:bCs w:val="0"/>
          <w:color w:val="000000" w:themeColor="text1"/>
          <w:sz w:val="28"/>
          <w:szCs w:val="28"/>
        </w:rPr>
      </w:pPr>
      <w:r w:rsidRPr="00042BF6">
        <w:rPr>
          <w:rStyle w:val="a8"/>
          <w:rFonts w:ascii="黑体" w:eastAsia="黑体" w:hAnsi="黑体" w:cs="黑体" w:hint="eastAsia"/>
          <w:b w:val="0"/>
          <w:bCs w:val="0"/>
          <w:color w:val="000000" w:themeColor="text1"/>
          <w:sz w:val="28"/>
          <w:szCs w:val="28"/>
        </w:rPr>
        <w:t>广州市提高工业用地利用效率实施办法</w:t>
      </w:r>
    </w:p>
    <w:p w:rsidR="00A379EF" w:rsidRPr="00042BF6" w:rsidRDefault="00CC6993" w:rsidP="00CC6993">
      <w:pPr>
        <w:spacing w:beforeLines="50" w:afterLines="50" w:line="640" w:lineRule="exact"/>
        <w:ind w:firstLineChars="200" w:firstLine="560"/>
        <w:jc w:val="center"/>
        <w:rPr>
          <w:rStyle w:val="a8"/>
          <w:rFonts w:ascii="黑体" w:eastAsia="黑体" w:hAnsi="黑体" w:cs="Times New Roman"/>
          <w:b w:val="0"/>
          <w:bCs w:val="0"/>
          <w:color w:val="000000" w:themeColor="text1"/>
          <w:sz w:val="28"/>
          <w:szCs w:val="28"/>
        </w:rPr>
      </w:pPr>
      <w:r>
        <w:rPr>
          <w:rStyle w:val="a8"/>
          <w:rFonts w:ascii="黑体" w:eastAsia="黑体" w:hAnsi="黑体" w:cs="Times New Roman" w:hint="eastAsia"/>
          <w:b w:val="0"/>
          <w:bCs w:val="0"/>
          <w:color w:val="000000" w:themeColor="text1"/>
          <w:sz w:val="28"/>
          <w:szCs w:val="28"/>
        </w:rPr>
        <w:t>（征求意见稿）</w:t>
      </w:r>
    </w:p>
    <w:p w:rsidR="00A379EF" w:rsidRPr="00042BF6" w:rsidRDefault="00EA5CBB" w:rsidP="00CC6993">
      <w:pPr>
        <w:pStyle w:val="a7"/>
        <w:numPr>
          <w:ilvl w:val="0"/>
          <w:numId w:val="1"/>
        </w:numPr>
        <w:shd w:val="clear" w:color="auto" w:fill="FFFFFF"/>
        <w:spacing w:beforeLines="50" w:beforeAutospacing="0" w:afterLines="50" w:afterAutospacing="0" w:line="640" w:lineRule="exact"/>
        <w:ind w:left="0" w:firstLineChars="200" w:firstLine="560"/>
        <w:jc w:val="center"/>
        <w:rPr>
          <w:rFonts w:ascii="黑体" w:eastAsia="黑体" w:hAnsi="黑体" w:cs="Times New Roman"/>
          <w:color w:val="000000" w:themeColor="text1"/>
          <w:sz w:val="28"/>
          <w:szCs w:val="28"/>
        </w:rPr>
      </w:pPr>
      <w:r w:rsidRPr="00042BF6">
        <w:rPr>
          <w:rStyle w:val="a8"/>
          <w:rFonts w:ascii="黑体" w:eastAsia="黑体" w:hAnsi="黑体" w:cs="黑体" w:hint="eastAsia"/>
          <w:b w:val="0"/>
          <w:bCs w:val="0"/>
          <w:color w:val="000000" w:themeColor="text1"/>
          <w:sz w:val="28"/>
          <w:szCs w:val="28"/>
        </w:rPr>
        <w:t>总则</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为进一步提高工业用地利用效率，保障工业用地节约集约利用，根据《关于促进节约集约用地的通知》（国发〔</w:t>
      </w:r>
      <w:r w:rsidRPr="00042BF6">
        <w:rPr>
          <w:rFonts w:ascii="黑体" w:eastAsia="黑体" w:hAnsi="黑体" w:cs="黑体"/>
          <w:color w:val="000000" w:themeColor="text1"/>
          <w:sz w:val="28"/>
          <w:szCs w:val="28"/>
        </w:rPr>
        <w:t>2008</w:t>
      </w:r>
      <w:r w:rsidRPr="00042BF6">
        <w:rPr>
          <w:rFonts w:ascii="黑体" w:eastAsia="黑体" w:hAnsi="黑体" w:cs="黑体" w:hint="eastAsia"/>
          <w:color w:val="000000" w:themeColor="text1"/>
          <w:sz w:val="28"/>
          <w:szCs w:val="28"/>
        </w:rPr>
        <w:t>〕</w:t>
      </w:r>
      <w:r w:rsidRPr="00042BF6">
        <w:rPr>
          <w:rFonts w:ascii="黑体" w:eastAsia="黑体" w:hAnsi="黑体" w:cs="黑体"/>
          <w:color w:val="000000" w:themeColor="text1"/>
          <w:sz w:val="28"/>
          <w:szCs w:val="28"/>
        </w:rPr>
        <w:t>3</w:t>
      </w:r>
      <w:r w:rsidRPr="00042BF6">
        <w:rPr>
          <w:rFonts w:ascii="黑体" w:eastAsia="黑体" w:hAnsi="黑体" w:cs="黑体" w:hint="eastAsia"/>
          <w:color w:val="000000" w:themeColor="text1"/>
          <w:sz w:val="28"/>
          <w:szCs w:val="28"/>
        </w:rPr>
        <w:t>号）、《节约集约利用土地规定》（国土资源部令第</w:t>
      </w:r>
      <w:r w:rsidRPr="00042BF6">
        <w:rPr>
          <w:rFonts w:ascii="黑体" w:eastAsia="黑体" w:hAnsi="黑体" w:cs="黑体"/>
          <w:color w:val="000000" w:themeColor="text1"/>
          <w:sz w:val="28"/>
          <w:szCs w:val="28"/>
        </w:rPr>
        <w:t>61</w:t>
      </w:r>
      <w:r w:rsidRPr="00042BF6">
        <w:rPr>
          <w:rFonts w:ascii="黑体" w:eastAsia="黑体" w:hAnsi="黑体" w:cs="黑体" w:hint="eastAsia"/>
          <w:color w:val="000000" w:themeColor="text1"/>
          <w:sz w:val="28"/>
          <w:szCs w:val="28"/>
        </w:rPr>
        <w:t>号）、《关于支持新产业新业态发展促进大众创业万众创新用地意见的通知》（国土资规〔</w:t>
      </w:r>
      <w:r w:rsidRPr="00042BF6">
        <w:rPr>
          <w:rFonts w:ascii="黑体" w:eastAsia="黑体" w:hAnsi="黑体" w:cs="黑体"/>
          <w:color w:val="000000" w:themeColor="text1"/>
          <w:sz w:val="28"/>
          <w:szCs w:val="28"/>
        </w:rPr>
        <w:t>2015</w:t>
      </w:r>
      <w:r w:rsidRPr="00042BF6">
        <w:rPr>
          <w:rFonts w:ascii="黑体" w:eastAsia="黑体" w:hAnsi="黑体" w:cs="黑体" w:hint="eastAsia"/>
          <w:color w:val="000000" w:themeColor="text1"/>
          <w:sz w:val="28"/>
          <w:szCs w:val="28"/>
        </w:rPr>
        <w:t>〕</w:t>
      </w:r>
      <w:r w:rsidRPr="00042BF6">
        <w:rPr>
          <w:rFonts w:ascii="黑体" w:eastAsia="黑体" w:hAnsi="黑体" w:cs="黑体"/>
          <w:color w:val="000000" w:themeColor="text1"/>
          <w:sz w:val="28"/>
          <w:szCs w:val="28"/>
        </w:rPr>
        <w:t>5</w:t>
      </w:r>
      <w:r w:rsidRPr="00042BF6">
        <w:rPr>
          <w:rFonts w:ascii="黑体" w:eastAsia="黑体" w:hAnsi="黑体" w:cs="黑体" w:hint="eastAsia"/>
          <w:color w:val="000000" w:themeColor="text1"/>
          <w:sz w:val="28"/>
          <w:szCs w:val="28"/>
        </w:rPr>
        <w:t>号）、《关于印发〈关于深入推进城镇低效用地再开发的指导意见（试行）〉的通知》（国土资发〔</w:t>
      </w:r>
      <w:r w:rsidRPr="00042BF6">
        <w:rPr>
          <w:rFonts w:ascii="黑体" w:eastAsia="黑体" w:hAnsi="黑体" w:cs="黑体"/>
          <w:color w:val="000000" w:themeColor="text1"/>
          <w:sz w:val="28"/>
          <w:szCs w:val="28"/>
        </w:rPr>
        <w:t>2016</w:t>
      </w:r>
      <w:r w:rsidRPr="00042BF6">
        <w:rPr>
          <w:rFonts w:ascii="黑体" w:eastAsia="黑体" w:hAnsi="黑体" w:cs="黑体" w:hint="eastAsia"/>
          <w:color w:val="000000" w:themeColor="text1"/>
          <w:sz w:val="28"/>
          <w:szCs w:val="28"/>
        </w:rPr>
        <w:t>〕</w:t>
      </w:r>
      <w:r w:rsidRPr="00042BF6">
        <w:rPr>
          <w:rFonts w:ascii="黑体" w:eastAsia="黑体" w:hAnsi="黑体" w:cs="黑体"/>
          <w:color w:val="000000" w:themeColor="text1"/>
          <w:sz w:val="28"/>
          <w:szCs w:val="28"/>
        </w:rPr>
        <w:t>147</w:t>
      </w:r>
      <w:r w:rsidRPr="00042BF6">
        <w:rPr>
          <w:rFonts w:ascii="黑体" w:eastAsia="黑体" w:hAnsi="黑体" w:cs="黑体" w:hint="eastAsia"/>
          <w:color w:val="000000" w:themeColor="text1"/>
          <w:sz w:val="28"/>
          <w:szCs w:val="28"/>
        </w:rPr>
        <w:t>号）、《关于印发广东省降低制造业企业成本支持实体经济发展若干政策措施（修订版）的通知》（粤府〔</w:t>
      </w:r>
      <w:r w:rsidRPr="00042BF6">
        <w:rPr>
          <w:rFonts w:ascii="黑体" w:eastAsia="黑体" w:hAnsi="黑体" w:cs="黑体"/>
          <w:color w:val="000000" w:themeColor="text1"/>
          <w:sz w:val="28"/>
          <w:szCs w:val="28"/>
        </w:rPr>
        <w:t>2018</w:t>
      </w:r>
      <w:r w:rsidRPr="00042BF6">
        <w:rPr>
          <w:rFonts w:ascii="黑体" w:eastAsia="黑体" w:hAnsi="黑体" w:cs="黑体" w:hint="eastAsia"/>
          <w:color w:val="000000" w:themeColor="text1"/>
          <w:sz w:val="28"/>
          <w:szCs w:val="28"/>
        </w:rPr>
        <w:t>〕</w:t>
      </w:r>
      <w:r w:rsidRPr="00042BF6">
        <w:rPr>
          <w:rFonts w:ascii="黑体" w:eastAsia="黑体" w:hAnsi="黑体" w:cs="黑体"/>
          <w:color w:val="000000" w:themeColor="text1"/>
          <w:sz w:val="28"/>
          <w:szCs w:val="28"/>
        </w:rPr>
        <w:t>79</w:t>
      </w:r>
      <w:r w:rsidRPr="00042BF6">
        <w:rPr>
          <w:rFonts w:ascii="黑体" w:eastAsia="黑体" w:hAnsi="黑体" w:cs="黑体" w:hint="eastAsia"/>
          <w:color w:val="000000" w:themeColor="text1"/>
          <w:sz w:val="28"/>
          <w:szCs w:val="28"/>
        </w:rPr>
        <w:t>号）、《关于完善工业用地供应制度促进供给侧结构性改革的指导意见（试行）》（粤国土资规字〔</w:t>
      </w:r>
      <w:r w:rsidRPr="00042BF6">
        <w:rPr>
          <w:rFonts w:ascii="黑体" w:eastAsia="黑体" w:hAnsi="黑体" w:cs="黑体"/>
          <w:color w:val="000000" w:themeColor="text1"/>
          <w:sz w:val="28"/>
          <w:szCs w:val="28"/>
        </w:rPr>
        <w:t>2017</w:t>
      </w:r>
      <w:r w:rsidRPr="00042BF6">
        <w:rPr>
          <w:rFonts w:ascii="黑体" w:eastAsia="黑体" w:hAnsi="黑体" w:cs="黑体" w:hint="eastAsia"/>
          <w:color w:val="000000" w:themeColor="text1"/>
          <w:sz w:val="28"/>
          <w:szCs w:val="28"/>
        </w:rPr>
        <w:t>〕</w:t>
      </w:r>
      <w:r w:rsidRPr="00042BF6">
        <w:rPr>
          <w:rFonts w:ascii="黑体" w:eastAsia="黑体" w:hAnsi="黑体" w:cs="黑体"/>
          <w:color w:val="000000" w:themeColor="text1"/>
          <w:sz w:val="28"/>
          <w:szCs w:val="28"/>
        </w:rPr>
        <w:t>3</w:t>
      </w:r>
      <w:r w:rsidRPr="00042BF6">
        <w:rPr>
          <w:rFonts w:ascii="黑体" w:eastAsia="黑体" w:hAnsi="黑体" w:cs="黑体" w:hint="eastAsia"/>
          <w:color w:val="000000" w:themeColor="text1"/>
          <w:sz w:val="28"/>
          <w:szCs w:val="28"/>
        </w:rPr>
        <w:t>号）等相关规定，结合本市实际，制定本办法。</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本办法适用于本市行政区域内工业用地的规划和使用管理（黄埔、南沙区除外），包括普通工业用地和新型产业用地（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普通工业用地是指《城市用地分类与规划建设用地标准》（</w:t>
      </w:r>
      <w:r w:rsidRPr="00042BF6">
        <w:rPr>
          <w:rFonts w:ascii="黑体" w:eastAsia="黑体" w:hAnsi="黑体" w:cs="黑体"/>
          <w:color w:val="000000" w:themeColor="text1"/>
          <w:sz w:val="28"/>
          <w:szCs w:val="28"/>
        </w:rPr>
        <w:t>GB50137-2011</w:t>
      </w:r>
      <w:r w:rsidRPr="00042BF6">
        <w:rPr>
          <w:rFonts w:ascii="黑体" w:eastAsia="黑体" w:hAnsi="黑体" w:cs="黑体" w:hint="eastAsia"/>
          <w:color w:val="000000" w:themeColor="text1"/>
          <w:sz w:val="28"/>
          <w:szCs w:val="28"/>
        </w:rPr>
        <w:t>）规定的一类工业用地（</w:t>
      </w:r>
      <w:r w:rsidRPr="00042BF6">
        <w:rPr>
          <w:rFonts w:ascii="黑体" w:eastAsia="黑体" w:hAnsi="黑体" w:cs="黑体"/>
          <w:color w:val="000000" w:themeColor="text1"/>
          <w:sz w:val="28"/>
          <w:szCs w:val="28"/>
        </w:rPr>
        <w:t>M1</w:t>
      </w:r>
      <w:r w:rsidRPr="00042BF6">
        <w:rPr>
          <w:rFonts w:ascii="黑体" w:eastAsia="黑体" w:hAnsi="黑体" w:cs="黑体" w:hint="eastAsia"/>
          <w:color w:val="000000" w:themeColor="text1"/>
          <w:sz w:val="28"/>
          <w:szCs w:val="28"/>
        </w:rPr>
        <w:t>）、二类工业用地（</w:t>
      </w:r>
      <w:r w:rsidRPr="00042BF6">
        <w:rPr>
          <w:rFonts w:ascii="黑体" w:eastAsia="黑体" w:hAnsi="黑体" w:cs="黑体"/>
          <w:color w:val="000000" w:themeColor="text1"/>
          <w:sz w:val="28"/>
          <w:szCs w:val="28"/>
        </w:rPr>
        <w:t>M2</w:t>
      </w:r>
      <w:r w:rsidRPr="00042BF6">
        <w:rPr>
          <w:rFonts w:ascii="黑体" w:eastAsia="黑体" w:hAnsi="黑体" w:cs="黑体" w:hint="eastAsia"/>
          <w:color w:val="000000" w:themeColor="text1"/>
          <w:sz w:val="28"/>
          <w:szCs w:val="28"/>
        </w:rPr>
        <w:t>）和三类工业用地（</w:t>
      </w:r>
      <w:r w:rsidRPr="00042BF6">
        <w:rPr>
          <w:rFonts w:ascii="黑体" w:eastAsia="黑体" w:hAnsi="黑体" w:cs="黑体"/>
          <w:color w:val="000000" w:themeColor="text1"/>
          <w:sz w:val="28"/>
          <w:szCs w:val="28"/>
        </w:rPr>
        <w:t>M3</w:t>
      </w:r>
      <w:r w:rsidRPr="00042BF6">
        <w:rPr>
          <w:rFonts w:ascii="黑体" w:eastAsia="黑体" w:hAnsi="黑体" w:cs="黑体" w:hint="eastAsia"/>
          <w:color w:val="000000" w:themeColor="text1"/>
          <w:sz w:val="28"/>
          <w:szCs w:val="28"/>
        </w:rPr>
        <w:t>）。</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lastRenderedPageBreak/>
        <w:t>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）是指为适应创新型企业发展和创新人才的空间需求，用于研发、创意、设计、中试、检测、清洁生产等环节及其配套设施的用地。</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工业产业区块是指经市政府批准的《广州市工业产业区块列表》中明确的用于推动产业项目集聚发展，经规划确定的工业园区、连片工业用地、产业园区、价值创新园等。</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提高工业用地利用效率遵循“统筹布局、引导集聚、健全标准、严格准入、加强监管”的基本原则，促进新增工业用地合理布局和规模集聚，新增普通工业用地原则上安排在工业产业区块内。</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挖掘存量工业用地资源，鼓励用地单位在符合城乡规划、消防要求的前提下，通过厂房加层、厂区改造、内部土地整理、开发建设地下空间等途径提高工业用地的利用效率。</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市国土规划部门负责本市工业用地的规划、供应、利用管理等工作。</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市发展改革、国土规划部门会同工业和信息化、商务、城市更新等部门负责制定本市产业准入标准和产业用地标准（指南），制定并实施土地利用绩效评估的指标、标准、方法和程序等。</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市环保部门负责本市工业用地环境保护的监督管理工作。</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各区政府（含广州空港经济区管委会，下同）负责各自区域内的工业用地提高利用效率的组织实施与协调管理；区有关部门按照各自职责，具体协同实施本办法；区有关部门、各产业区块管理机构具体负责项目履约考核等工作。</w:t>
      </w:r>
    </w:p>
    <w:p w:rsidR="00A379EF" w:rsidRPr="00042BF6" w:rsidRDefault="00A379EF"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p>
    <w:p w:rsidR="00A379EF" w:rsidRPr="00042BF6" w:rsidRDefault="00EA5CBB" w:rsidP="00CC6993">
      <w:pPr>
        <w:pStyle w:val="a7"/>
        <w:numPr>
          <w:ilvl w:val="0"/>
          <w:numId w:val="1"/>
        </w:numPr>
        <w:shd w:val="clear" w:color="auto" w:fill="FFFFFF"/>
        <w:spacing w:beforeLines="50" w:beforeAutospacing="0" w:afterLines="50" w:afterAutospacing="0" w:line="640" w:lineRule="exact"/>
        <w:ind w:left="0" w:firstLineChars="200" w:firstLine="560"/>
        <w:jc w:val="center"/>
        <w:rPr>
          <w:rFonts w:ascii="黑体" w:eastAsia="黑体" w:hAnsi="黑体" w:cs="Times New Roman"/>
          <w:color w:val="000000" w:themeColor="text1"/>
          <w:sz w:val="28"/>
          <w:szCs w:val="28"/>
        </w:rPr>
      </w:pPr>
      <w:r w:rsidRPr="00042BF6">
        <w:rPr>
          <w:rStyle w:val="a8"/>
          <w:rFonts w:ascii="黑体" w:eastAsia="黑体" w:hAnsi="黑体" w:cs="黑体" w:hint="eastAsia"/>
          <w:b w:val="0"/>
          <w:bCs w:val="0"/>
          <w:color w:val="000000" w:themeColor="text1"/>
          <w:sz w:val="28"/>
          <w:szCs w:val="28"/>
        </w:rPr>
        <w:t>规划管理</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）原则上在广州市主城核心区和各区核心区、轨道交通站点周边</w:t>
      </w:r>
      <w:r w:rsidRPr="00042BF6">
        <w:rPr>
          <w:rFonts w:ascii="黑体" w:eastAsia="黑体" w:hAnsi="黑体" w:cs="黑体"/>
          <w:color w:val="000000" w:themeColor="text1"/>
          <w:sz w:val="28"/>
          <w:szCs w:val="28"/>
        </w:rPr>
        <w:t>500</w:t>
      </w:r>
      <w:r w:rsidRPr="00042BF6">
        <w:rPr>
          <w:rFonts w:ascii="黑体" w:eastAsia="黑体" w:hAnsi="黑体" w:cs="黑体" w:hint="eastAsia"/>
          <w:color w:val="000000" w:themeColor="text1"/>
          <w:sz w:val="28"/>
          <w:szCs w:val="28"/>
        </w:rPr>
        <w:t>米范围、工业产业区块、第二中央商务区、白鹅潭商务区、东部沿江发展带、白云新城地区、广州南站核心区、万博商务区、花都中轴线地区、洛溪岛、广州大学城等商务</w:t>
      </w:r>
      <w:bookmarkStart w:id="0" w:name="_GoBack"/>
      <w:bookmarkEnd w:id="0"/>
      <w:r w:rsidRPr="00042BF6">
        <w:rPr>
          <w:rFonts w:ascii="黑体" w:eastAsia="黑体" w:hAnsi="黑体" w:cs="黑体" w:hint="eastAsia"/>
          <w:color w:val="000000" w:themeColor="text1"/>
          <w:sz w:val="28"/>
          <w:szCs w:val="28"/>
        </w:rPr>
        <w:t>集聚区以外选址。</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）优先在科技创新平台、广深科技创新走廊、产业集聚区周边、连片更新改造区域等范围选址。</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型产业用地（M0）的选址，由各区政府根据新型产业的发展需求提出选址方案，经市国土规划部门会同发展改革、工业和信息化、商务、科技创新、城市更新、环境保护等部门审查后，报送市政府批准。涉及调整控制性详细规划的，由各区政府按照相关规定对控制性详细规划进行调整。</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国土规划部门在工业用地出让前应根据控制性详细规划、《广州市工业用地规划控制指标表》、《广州市产业用地指南》及本办法，出具工业用地的规划条件，提供出让土地的容积率、建筑密度、绿地率等规划指标。特殊区域对规划指标有特殊规定的从其规定。</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除位于特殊区域内，安全、消防等有特殊规定或行业生产有特殊要求的项目外，新型产业用地（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）容积率不低于</w:t>
      </w:r>
      <w:r w:rsidRPr="00042BF6">
        <w:rPr>
          <w:rFonts w:ascii="黑体" w:eastAsia="黑体" w:hAnsi="黑体" w:cs="黑体"/>
          <w:color w:val="000000" w:themeColor="text1"/>
          <w:sz w:val="28"/>
          <w:szCs w:val="28"/>
        </w:rPr>
        <w:t>3.0</w:t>
      </w:r>
      <w:r w:rsidRPr="00042BF6">
        <w:rPr>
          <w:rFonts w:ascii="黑体" w:eastAsia="黑体" w:hAnsi="黑体" w:cs="黑体" w:hint="eastAsia"/>
          <w:color w:val="000000" w:themeColor="text1"/>
          <w:sz w:val="28"/>
          <w:szCs w:val="28"/>
        </w:rPr>
        <w:t>，一类工业用地容积率不低于</w:t>
      </w:r>
      <w:r w:rsidRPr="00042BF6">
        <w:rPr>
          <w:rFonts w:ascii="黑体" w:eastAsia="黑体" w:hAnsi="黑体" w:cs="黑体"/>
          <w:color w:val="000000" w:themeColor="text1"/>
          <w:sz w:val="28"/>
          <w:szCs w:val="28"/>
        </w:rPr>
        <w:t>2.0</w:t>
      </w:r>
      <w:r w:rsidRPr="00042BF6">
        <w:rPr>
          <w:rFonts w:ascii="黑体" w:eastAsia="黑体" w:hAnsi="黑体" w:cs="黑体" w:hint="eastAsia"/>
          <w:color w:val="000000" w:themeColor="text1"/>
          <w:sz w:val="28"/>
          <w:szCs w:val="28"/>
        </w:rPr>
        <w:t>，二类、三类工业用地容积率不低于</w:t>
      </w:r>
      <w:r w:rsidRPr="00042BF6">
        <w:rPr>
          <w:rFonts w:ascii="黑体" w:eastAsia="黑体" w:hAnsi="黑体" w:cs="黑体"/>
          <w:color w:val="000000" w:themeColor="text1"/>
          <w:sz w:val="28"/>
          <w:szCs w:val="28"/>
        </w:rPr>
        <w:t>1.2</w:t>
      </w:r>
      <w:r w:rsidRPr="00042BF6">
        <w:rPr>
          <w:rFonts w:ascii="黑体" w:eastAsia="黑体" w:hAnsi="黑体" w:cs="黑体" w:hint="eastAsia"/>
          <w:color w:val="000000" w:themeColor="text1"/>
          <w:sz w:val="28"/>
          <w:szCs w:val="28"/>
        </w:rPr>
        <w:t>，生产工艺有特殊要求的工业用地容积率不低于</w:t>
      </w:r>
      <w:r w:rsidRPr="00042BF6">
        <w:rPr>
          <w:rFonts w:ascii="黑体" w:eastAsia="黑体" w:hAnsi="黑体" w:cs="黑体"/>
          <w:color w:val="000000" w:themeColor="text1"/>
          <w:sz w:val="28"/>
          <w:szCs w:val="28"/>
        </w:rPr>
        <w:t>0.8</w:t>
      </w:r>
      <w:r w:rsidRPr="00042BF6">
        <w:rPr>
          <w:rFonts w:ascii="黑体" w:eastAsia="黑体" w:hAnsi="黑体" w:cs="黑体" w:hint="eastAsia"/>
          <w:color w:val="000000" w:themeColor="text1"/>
          <w:sz w:val="28"/>
          <w:szCs w:val="28"/>
        </w:rPr>
        <w:t>。控制性详细规划中工业用地的容积率指标与上述要求不一致的，国土规划部门在出具规划条件时，按上述要求同步更新控制性详细规划。</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除安全、消防等有特殊规定的项目外，无行业特殊要求的新建工业项目，一般应建造</w:t>
      </w:r>
      <w:r w:rsidRPr="00042BF6">
        <w:rPr>
          <w:rFonts w:ascii="黑体" w:eastAsia="黑体" w:hAnsi="黑体" w:cs="黑体"/>
          <w:color w:val="000000" w:themeColor="text1"/>
          <w:sz w:val="28"/>
          <w:szCs w:val="28"/>
        </w:rPr>
        <w:t>3</w:t>
      </w:r>
      <w:r w:rsidRPr="00042BF6">
        <w:rPr>
          <w:rFonts w:ascii="黑体" w:eastAsia="黑体" w:hAnsi="黑体" w:cs="黑体" w:hint="eastAsia"/>
          <w:color w:val="000000" w:themeColor="text1"/>
          <w:sz w:val="28"/>
          <w:szCs w:val="28"/>
        </w:rPr>
        <w:t>层及以上多层厂房。</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大力发展高标准立体化厂房，提高标准厂房用地的开发强度，除机械、装备制造类等产业有特殊要求的外，标准厂房层数要求在</w:t>
      </w:r>
      <w:r w:rsidRPr="00042BF6">
        <w:rPr>
          <w:rFonts w:ascii="黑体" w:eastAsia="黑体" w:hAnsi="黑体" w:cs="黑体"/>
          <w:color w:val="000000" w:themeColor="text1"/>
          <w:sz w:val="28"/>
          <w:szCs w:val="28"/>
        </w:rPr>
        <w:t>3</w:t>
      </w:r>
      <w:r w:rsidRPr="00042BF6">
        <w:rPr>
          <w:rFonts w:ascii="黑体" w:eastAsia="黑体" w:hAnsi="黑体" w:cs="黑体" w:hint="eastAsia"/>
          <w:color w:val="000000" w:themeColor="text1"/>
          <w:sz w:val="28"/>
          <w:szCs w:val="28"/>
        </w:rPr>
        <w:t>层及以上。</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普通工业用地内配套行政办公及生活服务设施的用地面积不大于总用地面积的</w:t>
      </w:r>
      <w:r w:rsidRPr="00042BF6">
        <w:rPr>
          <w:rFonts w:ascii="黑体" w:eastAsia="黑体" w:hAnsi="黑体" w:cs="黑体"/>
          <w:color w:val="000000" w:themeColor="text1"/>
          <w:sz w:val="28"/>
          <w:szCs w:val="28"/>
        </w:rPr>
        <w:t>7%</w:t>
      </w:r>
      <w:r w:rsidRPr="00042BF6">
        <w:rPr>
          <w:rFonts w:ascii="黑体" w:eastAsia="黑体" w:hAnsi="黑体" w:cs="黑体" w:hint="eastAsia"/>
          <w:color w:val="000000" w:themeColor="text1"/>
          <w:sz w:val="28"/>
          <w:szCs w:val="28"/>
        </w:rPr>
        <w:t>，计容建筑面积不大于总计容建筑面积的</w:t>
      </w:r>
      <w:r w:rsidRPr="00042BF6">
        <w:rPr>
          <w:rFonts w:ascii="黑体" w:eastAsia="黑体" w:hAnsi="黑体" w:cs="黑体"/>
          <w:color w:val="000000" w:themeColor="text1"/>
          <w:sz w:val="28"/>
          <w:szCs w:val="28"/>
        </w:rPr>
        <w:t>14%</w:t>
      </w:r>
      <w:r w:rsidRPr="00042BF6">
        <w:rPr>
          <w:rFonts w:ascii="黑体" w:eastAsia="黑体" w:hAnsi="黑体" w:cs="黑体" w:hint="eastAsia"/>
          <w:color w:val="000000" w:themeColor="text1"/>
          <w:sz w:val="28"/>
          <w:szCs w:val="28"/>
        </w:rPr>
        <w:t>；位于价值创新园区内的，计容建筑面积不大于总计容建筑面积的</w:t>
      </w:r>
      <w:r w:rsidRPr="00042BF6">
        <w:rPr>
          <w:rFonts w:ascii="黑体" w:eastAsia="黑体" w:hAnsi="黑体" w:cs="黑体"/>
          <w:color w:val="000000" w:themeColor="text1"/>
          <w:sz w:val="28"/>
          <w:szCs w:val="28"/>
        </w:rPr>
        <w:t>15%</w:t>
      </w:r>
      <w:r w:rsidRPr="00042BF6">
        <w:rPr>
          <w:rFonts w:ascii="黑体" w:eastAsia="黑体" w:hAnsi="黑体" w:cs="黑体" w:hint="eastAsia"/>
          <w:color w:val="000000" w:themeColor="text1"/>
          <w:sz w:val="28"/>
          <w:szCs w:val="28"/>
        </w:rPr>
        <w:t>。</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）内配套行政办公及生活服务设施的计容建筑面积不大于总计容建筑面积的</w:t>
      </w:r>
      <w:r w:rsidRPr="00042BF6">
        <w:rPr>
          <w:rFonts w:ascii="黑体" w:eastAsia="黑体" w:hAnsi="黑体" w:cs="黑体"/>
          <w:color w:val="000000" w:themeColor="text1"/>
          <w:sz w:val="28"/>
          <w:szCs w:val="28"/>
        </w:rPr>
        <w:t>30%</w:t>
      </w:r>
      <w:r w:rsidRPr="00042BF6">
        <w:rPr>
          <w:rFonts w:ascii="黑体" w:eastAsia="黑体" w:hAnsi="黑体" w:cs="黑体" w:hint="eastAsia"/>
          <w:color w:val="000000" w:themeColor="text1"/>
          <w:sz w:val="28"/>
          <w:szCs w:val="28"/>
        </w:rPr>
        <w:t>；独立占地建设的，其用地面积不大于总用地面积的</w:t>
      </w:r>
      <w:r w:rsidRPr="00042BF6">
        <w:rPr>
          <w:rFonts w:ascii="黑体" w:eastAsia="黑体" w:hAnsi="黑体" w:cs="黑体"/>
          <w:color w:val="000000" w:themeColor="text1"/>
          <w:sz w:val="28"/>
          <w:szCs w:val="28"/>
        </w:rPr>
        <w:t>10%</w:t>
      </w:r>
      <w:r w:rsidRPr="00042BF6">
        <w:rPr>
          <w:rFonts w:ascii="黑体" w:eastAsia="黑体" w:hAnsi="黑体" w:cs="黑体" w:hint="eastAsia"/>
          <w:color w:val="000000" w:themeColor="text1"/>
          <w:sz w:val="28"/>
          <w:szCs w:val="28"/>
        </w:rPr>
        <w:t>。</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鼓励工业用地内的行政办公及生活服务设施集中布局，严禁建造商品住宅、专家楼、宾馆、招待所和培训中心等非生产性配套设施。</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工业项目的配套设施应当与工业厂房同步设计、同步报批、同步建设、同步验收。</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因城市建设、公共利益需要，需收回已出让或已划拨工业用地内部分用地，余下用地可通过适当提高容积率、建筑密度等规划指标的方式解决工业项目的建设需求。</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新建工业项目因企业自身原因未按土地使用权出让合同约定的内容建设的，用地单位不得申请改变用地性质、厂房及配套设施的用途和建设房地产开发项目等</w:t>
      </w:r>
      <w:r w:rsidRPr="00042BF6">
        <w:rPr>
          <w:rFonts w:ascii="黑体" w:eastAsia="黑体" w:hAnsi="黑体" w:cs="Times New Roman" w:hint="eastAsia"/>
          <w:color w:val="000000" w:themeColor="text1"/>
          <w:sz w:val="28"/>
          <w:szCs w:val="28"/>
        </w:rPr>
        <w:t>。</w:t>
      </w:r>
      <w:r w:rsidRPr="00042BF6">
        <w:rPr>
          <w:rFonts w:ascii="黑体" w:eastAsia="黑体" w:hAnsi="黑体" w:cs="黑体" w:hint="eastAsia"/>
          <w:color w:val="000000" w:themeColor="text1"/>
          <w:sz w:val="28"/>
          <w:szCs w:val="28"/>
        </w:rPr>
        <w:t>涉及违法建设的，由城管部门根据《中华人民共和国城乡规划法》、《广州市违法建设查处条例》的规定处理。</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黑体"/>
          <w:color w:val="000000" w:themeColor="text1"/>
          <w:sz w:val="28"/>
          <w:szCs w:val="28"/>
        </w:rPr>
      </w:pPr>
      <w:r w:rsidRPr="00042BF6">
        <w:rPr>
          <w:rFonts w:ascii="黑体" w:eastAsia="黑体" w:hAnsi="黑体" w:cs="黑体" w:hint="eastAsia"/>
          <w:color w:val="000000" w:themeColor="text1"/>
          <w:sz w:val="28"/>
          <w:szCs w:val="28"/>
        </w:rPr>
        <w:t>工业用地因扩大生产、增加产能等原因，经批准可以在原用地范围内提高土地开发强度，但以下情形除外：</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（一）《广州市产业用地指南》禁止类用地项目。</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（二）纳入广州市年度土地储备计划为非工业用途的储备用地。</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（三）纳入市、区政府“退二”企业名单的工业用地。</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（四）与控制性详细规划确定的用地性质不符的。</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用地单位或土地储备机构向国土规划部门申请调整工业用地容积率等指标，按照以下程序办理：</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（一）申请提高的容积率符合控制性详细规划的，国土规划部门依据控制性详细规划予以审批，但不应低于本办法</w:t>
      </w:r>
      <w:r w:rsidRPr="00042BF6">
        <w:rPr>
          <w:rStyle w:val="a8"/>
          <w:rFonts w:ascii="黑体" w:eastAsia="黑体" w:hAnsi="黑体" w:cs="黑体" w:hint="eastAsia"/>
          <w:b w:val="0"/>
          <w:bCs w:val="0"/>
          <w:color w:val="000000" w:themeColor="text1"/>
          <w:sz w:val="28"/>
          <w:szCs w:val="28"/>
        </w:rPr>
        <w:t>第八条规定的各类工业用地的容积率下限</w:t>
      </w:r>
      <w:r w:rsidRPr="00042BF6">
        <w:rPr>
          <w:rFonts w:ascii="黑体" w:eastAsia="黑体" w:hAnsi="黑体" w:cs="黑体" w:hint="eastAsia"/>
          <w:color w:val="000000" w:themeColor="text1"/>
          <w:sz w:val="28"/>
          <w:szCs w:val="28"/>
        </w:rPr>
        <w:t>。</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二）申请提高的容积率超出控制性详细规划但符合《广州市工业用地规划控制指标表》要求的，用地单位取得市发展改革、环保部门的有关批准文件，并经所在区国土规划局征询市级土地储备机构意见，核实不属于政府储备用地计划的：位于产业区块内的工业用地，由各区政府按照相关规定对控制性详细规划进行局部修正后，由国土规划部门予以审批；位于产业区块外的工业用地，由国土规划部门组织编制控制性详细规划调整方案，经市规划委员会审议并报市政府批准后再予以审批。</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三）申请提高的容积率超出《广州市工业用地规划控制指标表》要求的，用地单位、土地储备机构应当向所在区政府提出，由区政府收集、统计、评估因容积率调整产生的相关公共设施需求，开展交通、市政基础设施和环境影响评价。经评估确有调整的必要性和可行性的，由各区政府向市国土规划部门提出申请，并附送控制性详细规划调整的论证报告和方案。市国土规划部门根据书面申请结合周边规划情况，组织审查论证报告和方案，开展批前公示，经市规划委员会审议并报市政府批准后予以审批。</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（四）申请调整建筑密度、绿地率等其他指标的，由各区政府按照相关规定对控制性详细规划进行局部修正后，国土规划部门予以审批。</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黑体"/>
          <w:color w:val="000000" w:themeColor="text1"/>
          <w:sz w:val="28"/>
          <w:szCs w:val="28"/>
        </w:rPr>
      </w:pPr>
      <w:r w:rsidRPr="00042BF6">
        <w:rPr>
          <w:rFonts w:ascii="黑体" w:eastAsia="黑体" w:hAnsi="黑体" w:cs="黑体" w:hint="eastAsia"/>
          <w:color w:val="000000" w:themeColor="text1"/>
          <w:sz w:val="28"/>
          <w:szCs w:val="28"/>
        </w:rPr>
        <w:t>工业用地所在的区政府、产业区块管理机构和市政基础设施的管理单位，应当根据工业用地容积率等指标的调整情况相应增加或扩建公共配套和市政基础设施。</w:t>
      </w:r>
    </w:p>
    <w:p w:rsidR="00A379EF" w:rsidRPr="00042BF6" w:rsidRDefault="00EA5CBB" w:rsidP="00CC6993">
      <w:pPr>
        <w:pStyle w:val="a7"/>
        <w:shd w:val="clear" w:color="auto" w:fill="FFFFFF"/>
        <w:spacing w:beforeLines="50" w:beforeAutospacing="0" w:afterLines="50" w:afterAutospacing="0" w:line="640" w:lineRule="exact"/>
        <w:ind w:firstLineChars="200" w:firstLine="560"/>
        <w:rPr>
          <w:rFonts w:ascii="黑体" w:eastAsia="黑体" w:hAnsi="黑体" w:cs="Times New Roman"/>
          <w:color w:val="000000" w:themeColor="text1"/>
          <w:sz w:val="28"/>
          <w:szCs w:val="28"/>
        </w:rPr>
      </w:pPr>
      <w:r w:rsidRPr="00042BF6">
        <w:rPr>
          <w:rStyle w:val="apple-converted-space"/>
          <w:rFonts w:ascii="黑体" w:eastAsia="黑体" w:hAnsi="黑体" w:cs="黑体" w:hint="eastAsia"/>
          <w:color w:val="000000" w:themeColor="text1"/>
          <w:sz w:val="28"/>
          <w:szCs w:val="28"/>
        </w:rPr>
        <w:t>仓储用地规划指标的优化调整，可参照本条办理。</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已取得土地使用权的普通工业用地，在控制性详细规划中规划为其他用地性质（含新型产业用地（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））的，土地出让合同、划拨决定书已有约定的从其约定，无约定的按以下方式处理：</w:t>
      </w:r>
    </w:p>
    <w:p w:rsidR="00A379EF" w:rsidRPr="00042BF6" w:rsidRDefault="00EA5CBB" w:rsidP="00CC6993">
      <w:pPr>
        <w:pStyle w:val="a7"/>
        <w:shd w:val="clear" w:color="FFFFFF"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（一）属于政府储备用地计划内的，或属于调整为商品住宅用地的，由土地储备机构收储。</w:t>
      </w:r>
    </w:p>
    <w:p w:rsidR="00A379EF" w:rsidRPr="00042BF6" w:rsidRDefault="00EA5CBB" w:rsidP="00CC6993">
      <w:pPr>
        <w:pStyle w:val="a7"/>
        <w:shd w:val="clear" w:color="FFFFFF"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（二）已纳入城市更新范围的按城市更新政策办理。</w:t>
      </w:r>
    </w:p>
    <w:p w:rsidR="00A379EF" w:rsidRPr="00042BF6" w:rsidRDefault="00EA5CBB" w:rsidP="00CC6993">
      <w:pPr>
        <w:pStyle w:val="a7"/>
        <w:shd w:val="clear" w:color="FFFFFF"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（三）经批准按控制性详细规划的要求实施建设（含新型产业用地（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））的，用地单位在取得新的规划条件后</w:t>
      </w:r>
      <w:r w:rsidRPr="00042BF6">
        <w:rPr>
          <w:rFonts w:ascii="黑体" w:eastAsia="黑体" w:hAnsi="黑体" w:cs="黑体"/>
          <w:color w:val="000000" w:themeColor="text1"/>
          <w:sz w:val="28"/>
          <w:szCs w:val="28"/>
        </w:rPr>
        <w:t>30</w:t>
      </w:r>
      <w:r w:rsidRPr="00042BF6">
        <w:rPr>
          <w:rFonts w:ascii="黑体" w:eastAsia="黑体" w:hAnsi="黑体" w:cs="黑体" w:hint="eastAsia"/>
          <w:color w:val="000000" w:themeColor="text1"/>
          <w:sz w:val="28"/>
          <w:szCs w:val="28"/>
        </w:rPr>
        <w:t>日内，向国土规划部门申请办理土地供应文件、土地出让合同变更等手续。</w:t>
      </w:r>
    </w:p>
    <w:p w:rsidR="00A379EF" w:rsidRPr="00042BF6" w:rsidRDefault="00EA5CBB" w:rsidP="00CC6993">
      <w:pPr>
        <w:pStyle w:val="a7"/>
        <w:shd w:val="clear" w:color="FFFFFF"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四）用地单位申请仍按照普通工业用地建设的，经组织开展城市规划、环境影响、产业发展、交通影响等方面的评估论证后，适宜保留普通工业性质的，可按土地使用权出让合同、历史审批文件以及本办法的规定，对控制性详细规划进行调整或局部修正。</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Style w:val="a8"/>
          <w:rFonts w:ascii="黑体" w:eastAsia="黑体" w:hAnsi="黑体" w:cs="Times New Roman"/>
          <w:b w:val="0"/>
          <w:bCs w:val="0"/>
          <w:color w:val="000000" w:themeColor="text1"/>
          <w:kern w:val="2"/>
          <w:sz w:val="28"/>
          <w:szCs w:val="28"/>
        </w:rPr>
      </w:pPr>
      <w:r w:rsidRPr="00042BF6">
        <w:rPr>
          <w:rFonts w:ascii="黑体" w:eastAsia="黑体" w:hAnsi="黑体" w:cs="黑体" w:hint="eastAsia"/>
          <w:color w:val="000000" w:themeColor="text1"/>
          <w:sz w:val="28"/>
          <w:szCs w:val="28"/>
        </w:rPr>
        <w:t>工业用地建筑形态应与产业类型、生产业态和周边城市景观相匹配，工业厂房应符合工业建筑设计规范，研发设计用房可参照办公建筑设计规范进行设计，合理安排平面布局及各功能面积配置比例。</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新型产业用房（不含配套行政办公及生活服务设施）首层地面荷载不低于</w:t>
      </w:r>
      <w:r w:rsidRPr="00042BF6">
        <w:rPr>
          <w:rFonts w:ascii="黑体" w:eastAsia="黑体" w:hAnsi="黑体" w:cs="黑体"/>
          <w:color w:val="000000" w:themeColor="text1"/>
          <w:sz w:val="28"/>
          <w:szCs w:val="28"/>
        </w:rPr>
        <w:t>800</w:t>
      </w:r>
      <w:r w:rsidRPr="00042BF6">
        <w:rPr>
          <w:rFonts w:ascii="黑体" w:eastAsia="黑体" w:hAnsi="黑体" w:cs="黑体" w:hint="eastAsia"/>
          <w:color w:val="000000" w:themeColor="text1"/>
          <w:sz w:val="28"/>
          <w:szCs w:val="28"/>
        </w:rPr>
        <w:t>公斤</w:t>
      </w:r>
      <w:r w:rsidRPr="00042BF6">
        <w:rPr>
          <w:rFonts w:ascii="黑体" w:eastAsia="黑体" w:hAnsi="黑体" w:cs="黑体"/>
          <w:color w:val="000000" w:themeColor="text1"/>
          <w:sz w:val="28"/>
          <w:szCs w:val="28"/>
        </w:rPr>
        <w:t>/</w:t>
      </w:r>
      <w:r w:rsidRPr="00042BF6">
        <w:rPr>
          <w:rFonts w:ascii="黑体" w:eastAsia="黑体" w:hAnsi="黑体" w:cs="黑体" w:hint="eastAsia"/>
          <w:color w:val="000000" w:themeColor="text1"/>
          <w:sz w:val="28"/>
          <w:szCs w:val="28"/>
        </w:rPr>
        <w:t>平方米，二、三层楼层荷载不低于</w:t>
      </w:r>
      <w:r w:rsidRPr="00042BF6">
        <w:rPr>
          <w:rFonts w:ascii="黑体" w:eastAsia="黑体" w:hAnsi="黑体" w:cs="黑体"/>
          <w:color w:val="000000" w:themeColor="text1"/>
          <w:sz w:val="28"/>
          <w:szCs w:val="28"/>
        </w:rPr>
        <w:t>650</w:t>
      </w:r>
      <w:r w:rsidRPr="00042BF6">
        <w:rPr>
          <w:rFonts w:ascii="黑体" w:eastAsia="黑体" w:hAnsi="黑体" w:cs="黑体" w:hint="eastAsia"/>
          <w:color w:val="000000" w:themeColor="text1"/>
          <w:sz w:val="28"/>
          <w:szCs w:val="28"/>
        </w:rPr>
        <w:t>公斤</w:t>
      </w:r>
      <w:r w:rsidRPr="00042BF6">
        <w:rPr>
          <w:rFonts w:ascii="黑体" w:eastAsia="黑体" w:hAnsi="黑体" w:cs="黑体"/>
          <w:color w:val="000000" w:themeColor="text1"/>
          <w:sz w:val="28"/>
          <w:szCs w:val="28"/>
        </w:rPr>
        <w:t>/</w:t>
      </w:r>
      <w:r w:rsidRPr="00042BF6">
        <w:rPr>
          <w:rFonts w:ascii="黑体" w:eastAsia="黑体" w:hAnsi="黑体" w:cs="黑体" w:hint="eastAsia"/>
          <w:color w:val="000000" w:themeColor="text1"/>
          <w:sz w:val="28"/>
          <w:szCs w:val="28"/>
        </w:rPr>
        <w:t>平方米，四层以上楼层荷载不低于</w:t>
      </w:r>
      <w:r w:rsidRPr="00042BF6">
        <w:rPr>
          <w:rFonts w:ascii="黑体" w:eastAsia="黑体" w:hAnsi="黑体" w:cs="黑体"/>
          <w:color w:val="000000" w:themeColor="text1"/>
          <w:sz w:val="28"/>
          <w:szCs w:val="28"/>
        </w:rPr>
        <w:t>500</w:t>
      </w:r>
      <w:r w:rsidRPr="00042BF6">
        <w:rPr>
          <w:rFonts w:ascii="黑体" w:eastAsia="黑体" w:hAnsi="黑体" w:cs="黑体" w:hint="eastAsia"/>
          <w:color w:val="000000" w:themeColor="text1"/>
          <w:sz w:val="28"/>
          <w:szCs w:val="28"/>
        </w:rPr>
        <w:t>公斤</w:t>
      </w:r>
      <w:r w:rsidRPr="00042BF6">
        <w:rPr>
          <w:rFonts w:ascii="黑体" w:eastAsia="黑体" w:hAnsi="黑体" w:cs="黑体"/>
          <w:color w:val="000000" w:themeColor="text1"/>
          <w:sz w:val="28"/>
          <w:szCs w:val="28"/>
        </w:rPr>
        <w:t>/</w:t>
      </w:r>
      <w:r w:rsidRPr="00042BF6">
        <w:rPr>
          <w:rFonts w:ascii="黑体" w:eastAsia="黑体" w:hAnsi="黑体" w:cs="黑体" w:hint="eastAsia"/>
          <w:color w:val="000000" w:themeColor="text1"/>
          <w:sz w:val="28"/>
          <w:szCs w:val="28"/>
        </w:rPr>
        <w:t>平方米；单独设置客梯，至少配备</w:t>
      </w:r>
      <w:r w:rsidRPr="00042BF6">
        <w:rPr>
          <w:rFonts w:ascii="黑体" w:eastAsia="黑体" w:hAnsi="黑体" w:cs="黑体"/>
          <w:color w:val="000000" w:themeColor="text1"/>
          <w:sz w:val="28"/>
          <w:szCs w:val="28"/>
        </w:rPr>
        <w:t>1</w:t>
      </w:r>
      <w:r w:rsidRPr="00042BF6">
        <w:rPr>
          <w:rFonts w:ascii="黑体" w:eastAsia="黑体" w:hAnsi="黑体" w:cs="黑体" w:hint="eastAsia"/>
          <w:color w:val="000000" w:themeColor="text1"/>
          <w:sz w:val="28"/>
          <w:szCs w:val="28"/>
        </w:rPr>
        <w:t>台载重</w:t>
      </w:r>
      <w:r w:rsidRPr="00042BF6">
        <w:rPr>
          <w:rFonts w:ascii="黑体" w:eastAsia="黑体" w:hAnsi="黑体" w:cs="黑体"/>
          <w:color w:val="000000" w:themeColor="text1"/>
          <w:sz w:val="28"/>
          <w:szCs w:val="28"/>
        </w:rPr>
        <w:t>2</w:t>
      </w:r>
      <w:r w:rsidRPr="00042BF6">
        <w:rPr>
          <w:rFonts w:ascii="黑体" w:eastAsia="黑体" w:hAnsi="黑体" w:cs="黑体" w:hint="eastAsia"/>
          <w:color w:val="000000" w:themeColor="text1"/>
          <w:sz w:val="28"/>
          <w:szCs w:val="28"/>
        </w:rPr>
        <w:t>吨以上的货梯。</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普通工业用房（不含配套行政办公及生活服务设施）首层地面荷载不低于</w:t>
      </w:r>
      <w:r w:rsidRPr="00042BF6">
        <w:rPr>
          <w:rFonts w:ascii="黑体" w:eastAsia="黑体" w:hAnsi="黑体" w:cs="黑体"/>
          <w:color w:val="000000" w:themeColor="text1"/>
          <w:sz w:val="28"/>
          <w:szCs w:val="28"/>
        </w:rPr>
        <w:t>1200</w:t>
      </w:r>
      <w:r w:rsidRPr="00042BF6">
        <w:rPr>
          <w:rFonts w:ascii="黑体" w:eastAsia="黑体" w:hAnsi="黑体" w:cs="黑体" w:hint="eastAsia"/>
          <w:color w:val="000000" w:themeColor="text1"/>
          <w:sz w:val="28"/>
          <w:szCs w:val="28"/>
        </w:rPr>
        <w:t>公斤</w:t>
      </w:r>
      <w:r w:rsidRPr="00042BF6">
        <w:rPr>
          <w:rFonts w:ascii="黑体" w:eastAsia="黑体" w:hAnsi="黑体" w:cs="黑体"/>
          <w:color w:val="000000" w:themeColor="text1"/>
          <w:sz w:val="28"/>
          <w:szCs w:val="28"/>
        </w:rPr>
        <w:t>/</w:t>
      </w:r>
      <w:r w:rsidRPr="00042BF6">
        <w:rPr>
          <w:rFonts w:ascii="黑体" w:eastAsia="黑体" w:hAnsi="黑体" w:cs="黑体" w:hint="eastAsia"/>
          <w:color w:val="000000" w:themeColor="text1"/>
          <w:sz w:val="28"/>
          <w:szCs w:val="28"/>
        </w:rPr>
        <w:t>平方米，二、三层楼层荷载不低于</w:t>
      </w:r>
      <w:r w:rsidRPr="00042BF6">
        <w:rPr>
          <w:rFonts w:ascii="黑体" w:eastAsia="黑体" w:hAnsi="黑体" w:cs="黑体"/>
          <w:color w:val="000000" w:themeColor="text1"/>
          <w:sz w:val="28"/>
          <w:szCs w:val="28"/>
        </w:rPr>
        <w:t>800</w:t>
      </w:r>
      <w:r w:rsidRPr="00042BF6">
        <w:rPr>
          <w:rFonts w:ascii="黑体" w:eastAsia="黑体" w:hAnsi="黑体" w:cs="黑体" w:hint="eastAsia"/>
          <w:color w:val="000000" w:themeColor="text1"/>
          <w:sz w:val="28"/>
          <w:szCs w:val="28"/>
        </w:rPr>
        <w:t>公斤</w:t>
      </w:r>
      <w:r w:rsidRPr="00042BF6">
        <w:rPr>
          <w:rFonts w:ascii="黑体" w:eastAsia="黑体" w:hAnsi="黑体" w:cs="黑体"/>
          <w:color w:val="000000" w:themeColor="text1"/>
          <w:sz w:val="28"/>
          <w:szCs w:val="28"/>
        </w:rPr>
        <w:t>/</w:t>
      </w:r>
      <w:r w:rsidRPr="00042BF6">
        <w:rPr>
          <w:rFonts w:ascii="黑体" w:eastAsia="黑体" w:hAnsi="黑体" w:cs="黑体" w:hint="eastAsia"/>
          <w:color w:val="000000" w:themeColor="text1"/>
          <w:sz w:val="28"/>
          <w:szCs w:val="28"/>
        </w:rPr>
        <w:t>平方米，四层以上楼层荷载不低于</w:t>
      </w:r>
      <w:r w:rsidRPr="00042BF6">
        <w:rPr>
          <w:rFonts w:ascii="黑体" w:eastAsia="黑体" w:hAnsi="黑体" w:cs="黑体"/>
          <w:color w:val="000000" w:themeColor="text1"/>
          <w:sz w:val="28"/>
          <w:szCs w:val="28"/>
        </w:rPr>
        <w:t>650</w:t>
      </w:r>
      <w:r w:rsidRPr="00042BF6">
        <w:rPr>
          <w:rFonts w:ascii="黑体" w:eastAsia="黑体" w:hAnsi="黑体" w:cs="黑体" w:hint="eastAsia"/>
          <w:color w:val="000000" w:themeColor="text1"/>
          <w:sz w:val="28"/>
          <w:szCs w:val="28"/>
        </w:rPr>
        <w:t>公斤</w:t>
      </w:r>
      <w:r w:rsidRPr="00042BF6">
        <w:rPr>
          <w:rFonts w:ascii="黑体" w:eastAsia="黑体" w:hAnsi="黑体" w:cs="黑体"/>
          <w:color w:val="000000" w:themeColor="text1"/>
          <w:sz w:val="28"/>
          <w:szCs w:val="28"/>
        </w:rPr>
        <w:t>/</w:t>
      </w:r>
      <w:r w:rsidRPr="00042BF6">
        <w:rPr>
          <w:rFonts w:ascii="黑体" w:eastAsia="黑体" w:hAnsi="黑体" w:cs="黑体" w:hint="eastAsia"/>
          <w:color w:val="000000" w:themeColor="text1"/>
          <w:sz w:val="28"/>
          <w:szCs w:val="28"/>
        </w:rPr>
        <w:t>平方米；至少配备</w:t>
      </w:r>
      <w:r w:rsidRPr="00042BF6">
        <w:rPr>
          <w:rFonts w:ascii="黑体" w:eastAsia="黑体" w:hAnsi="黑体" w:cs="黑体"/>
          <w:color w:val="000000" w:themeColor="text1"/>
          <w:sz w:val="28"/>
          <w:szCs w:val="28"/>
        </w:rPr>
        <w:t>2</w:t>
      </w:r>
      <w:r w:rsidRPr="00042BF6">
        <w:rPr>
          <w:rFonts w:ascii="黑体" w:eastAsia="黑体" w:hAnsi="黑体" w:cs="黑体" w:hint="eastAsia"/>
          <w:color w:val="000000" w:themeColor="text1"/>
          <w:sz w:val="28"/>
          <w:szCs w:val="28"/>
        </w:rPr>
        <w:t>台载重</w:t>
      </w:r>
      <w:r w:rsidRPr="00042BF6">
        <w:rPr>
          <w:rFonts w:ascii="黑体" w:eastAsia="黑体" w:hAnsi="黑体" w:cs="黑体"/>
          <w:color w:val="000000" w:themeColor="text1"/>
          <w:sz w:val="28"/>
          <w:szCs w:val="28"/>
        </w:rPr>
        <w:t>3</w:t>
      </w:r>
      <w:r w:rsidRPr="00042BF6">
        <w:rPr>
          <w:rFonts w:ascii="黑体" w:eastAsia="黑体" w:hAnsi="黑体" w:cs="黑体" w:hint="eastAsia"/>
          <w:color w:val="000000" w:themeColor="text1"/>
          <w:sz w:val="28"/>
          <w:szCs w:val="28"/>
        </w:rPr>
        <w:t>吨以上的货梯。</w:t>
      </w:r>
    </w:p>
    <w:p w:rsidR="00A379EF" w:rsidRPr="00042BF6" w:rsidRDefault="00A379EF" w:rsidP="00CC6993">
      <w:pPr>
        <w:spacing w:beforeLines="50" w:afterLines="50" w:line="640" w:lineRule="exact"/>
        <w:ind w:firstLineChars="200" w:firstLine="560"/>
        <w:jc w:val="center"/>
        <w:rPr>
          <w:rFonts w:ascii="黑体" w:eastAsia="黑体" w:hAnsi="黑体" w:cs="Times New Roman"/>
          <w:color w:val="000000" w:themeColor="text1"/>
          <w:sz w:val="28"/>
          <w:szCs w:val="28"/>
        </w:rPr>
      </w:pPr>
    </w:p>
    <w:p w:rsidR="00A379EF" w:rsidRPr="00042BF6" w:rsidRDefault="00EA5CBB" w:rsidP="00CC6993">
      <w:pPr>
        <w:pStyle w:val="a7"/>
        <w:numPr>
          <w:ilvl w:val="0"/>
          <w:numId w:val="1"/>
        </w:numPr>
        <w:shd w:val="clear" w:color="auto" w:fill="FFFFFF"/>
        <w:spacing w:beforeLines="50" w:beforeAutospacing="0" w:afterLines="50" w:afterAutospacing="0" w:line="640" w:lineRule="exact"/>
        <w:ind w:left="0" w:firstLineChars="200" w:firstLine="560"/>
        <w:jc w:val="center"/>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供地管理</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工业用地的供应方式包括：</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（一）符合《划拨用地目录》的，可以划拨方式供地。</w:t>
      </w:r>
    </w:p>
    <w:p w:rsidR="00A379EF" w:rsidRPr="00042BF6" w:rsidRDefault="00EA5CBB" w:rsidP="00CC6993">
      <w:pPr>
        <w:spacing w:beforeLines="50" w:afterLines="50" w:line="640" w:lineRule="exact"/>
        <w:ind w:firstLineChars="200" w:firstLine="560"/>
        <w:rPr>
          <w:rFonts w:ascii="黑体" w:eastAsia="黑体" w:hAnsi="黑体" w:cs="黑体"/>
          <w:color w:val="000000" w:themeColor="text1"/>
          <w:kern w:val="0"/>
          <w:sz w:val="28"/>
          <w:szCs w:val="28"/>
        </w:rPr>
      </w:pPr>
      <w:r w:rsidRPr="00042BF6">
        <w:rPr>
          <w:rFonts w:ascii="黑体" w:eastAsia="黑体" w:hAnsi="黑体" w:cs="黑体" w:hint="eastAsia"/>
          <w:color w:val="000000" w:themeColor="text1"/>
          <w:kern w:val="0"/>
          <w:sz w:val="28"/>
          <w:szCs w:val="28"/>
        </w:rPr>
        <w:t>（二）符合下列条件之一的，可以协议出让方式供地</w:t>
      </w:r>
      <w:r w:rsidRPr="00042BF6">
        <w:rPr>
          <w:rFonts w:ascii="黑体" w:eastAsia="黑体" w:hAnsi="黑体" w:cs="黑体"/>
          <w:color w:val="000000" w:themeColor="text1"/>
          <w:kern w:val="0"/>
          <w:sz w:val="28"/>
          <w:szCs w:val="28"/>
        </w:rPr>
        <w:t>:</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color w:val="000000" w:themeColor="text1"/>
          <w:kern w:val="0"/>
          <w:sz w:val="28"/>
          <w:szCs w:val="28"/>
        </w:rPr>
        <w:t>1.</w:t>
      </w:r>
      <w:r w:rsidRPr="00042BF6">
        <w:rPr>
          <w:rFonts w:ascii="黑体" w:eastAsia="黑体" w:hAnsi="黑体" w:cs="黑体" w:hint="eastAsia"/>
          <w:color w:val="000000" w:themeColor="text1"/>
          <w:kern w:val="0"/>
          <w:sz w:val="28"/>
          <w:szCs w:val="28"/>
        </w:rPr>
        <w:t>经城市更新部门批准以自主改造方式实施改造的，可以协议出让方式供地。</w:t>
      </w:r>
    </w:p>
    <w:p w:rsidR="00A379EF" w:rsidRPr="00042BF6" w:rsidRDefault="00EA5CBB" w:rsidP="00CC6993">
      <w:pPr>
        <w:spacing w:beforeLines="50" w:afterLines="50" w:line="640" w:lineRule="exact"/>
        <w:ind w:firstLineChars="200" w:firstLine="560"/>
        <w:rPr>
          <w:rFonts w:ascii="黑体" w:eastAsia="黑体" w:hAnsi="黑体" w:cs="黑体"/>
          <w:color w:val="000000" w:themeColor="text1"/>
          <w:kern w:val="0"/>
          <w:sz w:val="28"/>
          <w:szCs w:val="28"/>
        </w:rPr>
      </w:pPr>
      <w:r w:rsidRPr="00042BF6">
        <w:rPr>
          <w:rFonts w:ascii="黑体" w:eastAsia="黑体" w:hAnsi="黑体" w:cs="黑体"/>
          <w:color w:val="000000" w:themeColor="text1"/>
          <w:kern w:val="0"/>
          <w:sz w:val="28"/>
          <w:szCs w:val="28"/>
        </w:rPr>
        <w:t>2.</w:t>
      </w:r>
      <w:r w:rsidRPr="00042BF6">
        <w:rPr>
          <w:rFonts w:ascii="黑体" w:eastAsia="黑体" w:hAnsi="黑体" w:cs="黑体" w:hint="eastAsia"/>
          <w:color w:val="000000" w:themeColor="text1"/>
          <w:kern w:val="0"/>
          <w:sz w:val="28"/>
          <w:szCs w:val="28"/>
        </w:rPr>
        <w:t>实行先租后让、弹性出让方式供应的，租赁期满或弹性出让年期届满后，经评估达到要求的，可在法定最高出让年限内以协议出让方式续期。</w:t>
      </w:r>
    </w:p>
    <w:p w:rsidR="00A379EF" w:rsidRPr="00042BF6" w:rsidRDefault="00EA5CBB" w:rsidP="00CC6993">
      <w:pPr>
        <w:spacing w:beforeLines="50" w:afterLines="50" w:line="640" w:lineRule="exact"/>
        <w:ind w:firstLineChars="200" w:firstLine="560"/>
        <w:rPr>
          <w:rFonts w:ascii="黑体" w:eastAsia="黑体" w:hAnsi="黑体" w:cs="黑体"/>
          <w:color w:val="000000" w:themeColor="text1"/>
          <w:kern w:val="0"/>
          <w:sz w:val="28"/>
          <w:szCs w:val="28"/>
        </w:rPr>
      </w:pPr>
      <w:r w:rsidRPr="00042BF6">
        <w:rPr>
          <w:rFonts w:ascii="黑体" w:eastAsia="黑体" w:hAnsi="黑体" w:cs="黑体" w:hint="eastAsia"/>
          <w:color w:val="000000" w:themeColor="text1"/>
          <w:kern w:val="0"/>
          <w:sz w:val="28"/>
          <w:szCs w:val="28"/>
        </w:rPr>
        <w:t>3.其他按规定可以协议出让的。</w:t>
      </w:r>
    </w:p>
    <w:p w:rsidR="00A379EF" w:rsidRPr="00042BF6" w:rsidRDefault="00EA5CBB" w:rsidP="00CC6993">
      <w:pPr>
        <w:spacing w:beforeLines="50" w:afterLines="50" w:line="640" w:lineRule="exact"/>
        <w:ind w:firstLineChars="200" w:firstLine="560"/>
        <w:rPr>
          <w:rFonts w:ascii="黑体" w:eastAsia="黑体" w:hAnsi="黑体" w:cs="黑体"/>
          <w:color w:val="000000" w:themeColor="text1"/>
          <w:kern w:val="0"/>
          <w:sz w:val="28"/>
          <w:szCs w:val="28"/>
        </w:rPr>
      </w:pPr>
      <w:r w:rsidRPr="00042BF6">
        <w:rPr>
          <w:rFonts w:ascii="黑体" w:eastAsia="黑体" w:hAnsi="黑体" w:cs="黑体" w:hint="eastAsia"/>
          <w:color w:val="000000" w:themeColor="text1"/>
          <w:kern w:val="0"/>
          <w:sz w:val="28"/>
          <w:szCs w:val="28"/>
        </w:rPr>
        <w:t>（三）其他工业用地须以公开出让方式供应。</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（四）鼓励以租赁、先租后让方式供应工业用地；鼓励各区政府建设高标准厂房，解决创新型企业和新型产业发展空间。</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（五）对投资规模、投资强度未达到规定要求的项目，原则上不单独供地，引导进入标准厂房解决发展空间。</w:t>
      </w:r>
    </w:p>
    <w:p w:rsidR="00A379EF" w:rsidRPr="00042BF6" w:rsidRDefault="00EA5CBB">
      <w:pPr>
        <w:spacing w:before="50" w:after="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（六）符合</w:t>
      </w:r>
      <w:r w:rsidRPr="00042BF6">
        <w:rPr>
          <w:rFonts w:ascii="黑体" w:eastAsia="黑体" w:hAnsi="黑体" w:cs="黑体" w:hint="eastAsia"/>
          <w:color w:val="000000" w:themeColor="text1"/>
          <w:sz w:val="28"/>
          <w:szCs w:val="28"/>
        </w:rPr>
        <w:t>集体土地使用权流转政策规定的，可</w:t>
      </w:r>
      <w:r w:rsidRPr="00042BF6">
        <w:rPr>
          <w:rFonts w:ascii="黑体" w:eastAsia="黑体" w:hAnsi="黑体" w:cs="黑体" w:hint="eastAsia"/>
          <w:color w:val="000000" w:themeColor="text1"/>
          <w:kern w:val="0"/>
          <w:sz w:val="28"/>
          <w:szCs w:val="28"/>
        </w:rPr>
        <w:t>以集体建设用地使用权流转方式取得工业用地使用权。</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工业用地最高出让年限按</w:t>
      </w:r>
      <w:r w:rsidRPr="00042BF6">
        <w:rPr>
          <w:rFonts w:ascii="黑体" w:eastAsia="黑体" w:hAnsi="黑体" w:cs="黑体"/>
          <w:color w:val="000000" w:themeColor="text1"/>
          <w:sz w:val="28"/>
          <w:szCs w:val="28"/>
        </w:rPr>
        <w:t>50</w:t>
      </w:r>
      <w:r w:rsidRPr="00042BF6">
        <w:rPr>
          <w:rFonts w:ascii="黑体" w:eastAsia="黑体" w:hAnsi="黑体" w:cs="黑体" w:hint="eastAsia"/>
          <w:color w:val="000000" w:themeColor="text1"/>
          <w:sz w:val="28"/>
          <w:szCs w:val="28"/>
        </w:rPr>
        <w:t>年设定。各区可以根据产业生命周期，在最高出让年限内采取弹性年期分段出让工业用地。</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严格新供应工业用地产业准入和用地标准。强化产业项目准入管理，严禁向禁止类工业项目供地，从严控制限制类工业项目用地。</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组织供应工业用地时，各区政府应组织拟定包含产业门类、投产时间、投资强度、投资总额、产出效率、总产值、税收等内容的投入产出监管协议。土地竞买人在报名竞买时需提供已签署的投入产出监管协议，该协议纳入土地供应文件。</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建立新型产业用地（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）产业资格审查制度，由所在区政府组织区工业和信息化、发展改革、国土规划、科技创新、商务等部门对新型产业用地（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）申请引入的产业投资项目进行综合审查，审查结论作为新型产业用地（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）的供地依据。市工业和信息化部门对各区的产业资格审查工作予以总体指导。</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已按工业用地出让的国有建设用地，符合下列全部条件的，可通过补交土地出让金的方式调整为新型产业用地（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（一）已取得国有建设用地使用权属证明文件。</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（二）不涉及企业原因闲置土地或存在违反供应合同约定的违约行为。</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（三）取得</w:t>
      </w:r>
      <w:r w:rsidRPr="00042BF6">
        <w:rPr>
          <w:rFonts w:ascii="黑体" w:eastAsia="黑体" w:hAnsi="黑体" w:cs="黑体" w:hint="eastAsia"/>
          <w:color w:val="000000" w:themeColor="text1"/>
          <w:kern w:val="0"/>
          <w:sz w:val="28"/>
          <w:szCs w:val="28"/>
        </w:rPr>
        <w:t>新型产业用地（</w:t>
      </w:r>
      <w:r w:rsidRPr="00042BF6">
        <w:rPr>
          <w:rFonts w:ascii="黑体" w:eastAsia="黑体" w:hAnsi="黑体" w:cs="黑体"/>
          <w:color w:val="000000" w:themeColor="text1"/>
          <w:kern w:val="0"/>
          <w:sz w:val="28"/>
          <w:szCs w:val="28"/>
        </w:rPr>
        <w:t>M0</w:t>
      </w:r>
      <w:r w:rsidRPr="00042BF6">
        <w:rPr>
          <w:rFonts w:ascii="黑体" w:eastAsia="黑体" w:hAnsi="黑体" w:cs="黑体" w:hint="eastAsia"/>
          <w:color w:val="000000" w:themeColor="text1"/>
          <w:kern w:val="0"/>
          <w:sz w:val="28"/>
          <w:szCs w:val="28"/>
        </w:rPr>
        <w:t>）规划条件的。</w:t>
      </w:r>
    </w:p>
    <w:p w:rsidR="00A379EF" w:rsidRPr="00042BF6" w:rsidRDefault="00EA5CBB" w:rsidP="00CC6993">
      <w:pPr>
        <w:spacing w:beforeLines="50" w:afterLines="50" w:line="640" w:lineRule="exact"/>
        <w:ind w:firstLineChars="200" w:firstLine="560"/>
        <w:rPr>
          <w:rFonts w:ascii="黑体" w:eastAsia="黑体" w:hAnsi="黑体" w:cs="黑体"/>
          <w:color w:val="000000" w:themeColor="text1"/>
          <w:kern w:val="0"/>
          <w:sz w:val="28"/>
          <w:szCs w:val="28"/>
        </w:rPr>
      </w:pPr>
      <w:r w:rsidRPr="00042BF6">
        <w:rPr>
          <w:rFonts w:ascii="黑体" w:eastAsia="黑体" w:hAnsi="黑体" w:cs="黑体" w:hint="eastAsia"/>
          <w:color w:val="000000" w:themeColor="text1"/>
          <w:sz w:val="28"/>
          <w:szCs w:val="28"/>
        </w:rPr>
        <w:t>（四）取得本办法第二十条规定的</w:t>
      </w:r>
      <w:r w:rsidRPr="00042BF6">
        <w:rPr>
          <w:rFonts w:ascii="黑体" w:eastAsia="黑体" w:hAnsi="黑体" w:cs="黑体" w:hint="eastAsia"/>
          <w:color w:val="000000" w:themeColor="text1"/>
          <w:kern w:val="0"/>
          <w:sz w:val="28"/>
          <w:szCs w:val="28"/>
        </w:rPr>
        <w:t>新型产业用地（</w:t>
      </w:r>
      <w:r w:rsidRPr="00042BF6">
        <w:rPr>
          <w:rFonts w:ascii="黑体" w:eastAsia="黑体" w:hAnsi="黑体" w:cs="黑体"/>
          <w:color w:val="000000" w:themeColor="text1"/>
          <w:kern w:val="0"/>
          <w:sz w:val="28"/>
          <w:szCs w:val="28"/>
        </w:rPr>
        <w:t>M0</w:t>
      </w:r>
      <w:r w:rsidRPr="00042BF6">
        <w:rPr>
          <w:rFonts w:ascii="黑体" w:eastAsia="黑体" w:hAnsi="黑体" w:cs="黑体" w:hint="eastAsia"/>
          <w:color w:val="000000" w:themeColor="text1"/>
          <w:kern w:val="0"/>
          <w:sz w:val="28"/>
          <w:szCs w:val="28"/>
        </w:rPr>
        <w:t>）产业资格审查意见的。</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已按工业用地出让的国有建设用地申请调整为新型产业用地（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）的，按以下程序办理：</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（一）由用地单位向所在区政府提出申请；</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（二）所在区政府根据该区域产业发展需求，组织核查申请用地是否已取得新型产业用地（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）规划条件、是否存在企业原因闲置土地、是否违反供应合同约定等情形，并按照本办法第二十条开展产业资格审查后，与用地单位签订项目投入产出监管协议书；</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（三）所在区国土规划局根据区政府出具的产业准入审查意见、用地单位与区政府（或区政府指定机构）签订的项目投入产出监管协议书，重新签订土地供应合同变更协议，并按本办法规定计收土地出让金。</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已取得合法建设用地使用权的集体建设用地调整为新型产业用地（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）的，参照前款规定执行。</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新增普通工业用地的出让底价以市场评估地价为基础综合拟定，按</w:t>
      </w:r>
      <w:r w:rsidRPr="00042BF6">
        <w:rPr>
          <w:rFonts w:ascii="黑体" w:eastAsia="黑体" w:hAnsi="黑体" w:cs="黑体"/>
          <w:color w:val="000000" w:themeColor="text1"/>
          <w:sz w:val="28"/>
          <w:szCs w:val="28"/>
        </w:rPr>
        <w:t>50</w:t>
      </w:r>
      <w:r w:rsidRPr="00042BF6">
        <w:rPr>
          <w:rFonts w:ascii="黑体" w:eastAsia="黑体" w:hAnsi="黑体" w:cs="黑体" w:hint="eastAsia"/>
          <w:color w:val="000000" w:themeColor="text1"/>
          <w:sz w:val="28"/>
          <w:szCs w:val="28"/>
        </w:rPr>
        <w:t>年最高年限公开出让起始价不低于土地取得成本、土地前期开发成本和按规定应收取相关费用之和，不低于国家、省规定的土地出让最低价。属于广东省优先发展产业且用地集约节约（容积率和建筑系数超过国家规定标准</w:t>
      </w:r>
      <w:r w:rsidRPr="00042BF6">
        <w:rPr>
          <w:rFonts w:ascii="黑体" w:eastAsia="黑体" w:hAnsi="黑体" w:cs="黑体"/>
          <w:color w:val="000000" w:themeColor="text1"/>
          <w:sz w:val="28"/>
          <w:szCs w:val="28"/>
        </w:rPr>
        <w:t>40%</w:t>
      </w:r>
      <w:r w:rsidRPr="00042BF6">
        <w:rPr>
          <w:rFonts w:ascii="黑体" w:eastAsia="黑体" w:hAnsi="黑体" w:cs="黑体" w:hint="eastAsia"/>
          <w:color w:val="000000" w:themeColor="text1"/>
          <w:sz w:val="28"/>
          <w:szCs w:val="28"/>
        </w:rPr>
        <w:t>、投资强度增加</w:t>
      </w:r>
      <w:r w:rsidRPr="00042BF6">
        <w:rPr>
          <w:rFonts w:ascii="黑体" w:eastAsia="黑体" w:hAnsi="黑体" w:cs="黑体"/>
          <w:color w:val="000000" w:themeColor="text1"/>
          <w:sz w:val="28"/>
          <w:szCs w:val="28"/>
        </w:rPr>
        <w:t>10%</w:t>
      </w:r>
      <w:r w:rsidRPr="00042BF6">
        <w:rPr>
          <w:rFonts w:ascii="黑体" w:eastAsia="黑体" w:hAnsi="黑体" w:cs="黑体" w:hint="eastAsia"/>
          <w:color w:val="000000" w:themeColor="text1"/>
          <w:sz w:val="28"/>
          <w:szCs w:val="28"/>
        </w:rPr>
        <w:t>以上）的制造业项目，土地出让底价可按所在地土地等别对应工业用地最低价标准的</w:t>
      </w:r>
      <w:r w:rsidRPr="00042BF6">
        <w:rPr>
          <w:rFonts w:ascii="黑体" w:eastAsia="黑体" w:hAnsi="黑体" w:cs="黑体"/>
          <w:color w:val="000000" w:themeColor="text1"/>
          <w:sz w:val="28"/>
          <w:szCs w:val="28"/>
        </w:rPr>
        <w:t>70%</w:t>
      </w:r>
      <w:r w:rsidRPr="00042BF6">
        <w:rPr>
          <w:rFonts w:ascii="黑体" w:eastAsia="黑体" w:hAnsi="黑体" w:cs="黑体" w:hint="eastAsia"/>
          <w:color w:val="000000" w:themeColor="text1"/>
          <w:sz w:val="28"/>
          <w:szCs w:val="28"/>
        </w:rPr>
        <w:t>执行。出让年限不足</w:t>
      </w:r>
      <w:r w:rsidRPr="00042BF6">
        <w:rPr>
          <w:rFonts w:ascii="黑体" w:eastAsia="黑体" w:hAnsi="黑体" w:cs="黑体"/>
          <w:color w:val="000000" w:themeColor="text1"/>
          <w:sz w:val="28"/>
          <w:szCs w:val="28"/>
        </w:rPr>
        <w:t>50</w:t>
      </w:r>
      <w:r w:rsidRPr="00042BF6">
        <w:rPr>
          <w:rFonts w:ascii="黑体" w:eastAsia="黑体" w:hAnsi="黑体" w:cs="黑体" w:hint="eastAsia"/>
          <w:color w:val="000000" w:themeColor="text1"/>
          <w:sz w:val="28"/>
          <w:szCs w:val="28"/>
        </w:rPr>
        <w:t>年新增工业用地的出让起始价格、以“先租后让”方式供地的工业用地年租金价格按照《广州市工业用地使用权先租赁后出让和弹性年期出让实施办法》的规定折算。</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新增新型产业用地（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）在按前款规定核算普通工业用地出让底价的基础上，需按拟出让时同地段办公用途市场评估楼面地单价的</w:t>
      </w:r>
      <w:r w:rsidRPr="00042BF6">
        <w:rPr>
          <w:rFonts w:ascii="黑体" w:eastAsia="黑体" w:hAnsi="黑体" w:cs="黑体"/>
          <w:color w:val="000000" w:themeColor="text1"/>
          <w:sz w:val="28"/>
          <w:szCs w:val="28"/>
        </w:rPr>
        <w:t>30%</w:t>
      </w:r>
      <w:r w:rsidRPr="00042BF6">
        <w:rPr>
          <w:rFonts w:ascii="黑体" w:eastAsia="黑体" w:hAnsi="黑体" w:cs="黑体" w:hint="eastAsia"/>
          <w:color w:val="000000" w:themeColor="text1"/>
          <w:sz w:val="28"/>
          <w:szCs w:val="28"/>
        </w:rPr>
        <w:t>乘以可分割的产业用房建筑面积核算土地出让金，与普通工业用地出让底价之和作为新型产业用地（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）的出让底价。</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土地出让金计收标准按公开出让实际成交价格确定。</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存量普通工业用地在符合城市规划、不改变土地用途的前提下，经批准在原用地范围内新建、改建、扩建工业项目，且投资强度、容积率等指标符合省、市规定的，应当签订土地供应合同变更协议，增加的建筑面积不再补缴土地出让价款。</w:t>
      </w:r>
    </w:p>
    <w:p w:rsidR="00A379EF" w:rsidRPr="00042BF6" w:rsidRDefault="00EA5CBB" w:rsidP="00CC6993">
      <w:pPr>
        <w:spacing w:beforeLines="50" w:afterLines="50" w:line="640" w:lineRule="exact"/>
        <w:ind w:firstLineChars="200" w:firstLine="560"/>
        <w:rPr>
          <w:rFonts w:ascii="黑体" w:eastAsia="黑体" w:hAnsi="黑体" w:cs="黑体"/>
          <w:color w:val="000000" w:themeColor="text1"/>
          <w:sz w:val="28"/>
          <w:szCs w:val="28"/>
        </w:rPr>
      </w:pPr>
      <w:r w:rsidRPr="00042BF6">
        <w:rPr>
          <w:rFonts w:ascii="黑体" w:eastAsia="黑体" w:hAnsi="黑体" w:cs="黑体" w:hint="eastAsia"/>
          <w:color w:val="000000" w:themeColor="text1"/>
          <w:sz w:val="28"/>
          <w:szCs w:val="28"/>
        </w:rPr>
        <w:t>存量普通工业用地经批准调整为新型产业用地（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）的，对可分割的产业用房建筑面积，需按国土规划部门依法受理用地单位申请签订出让合同变更协议时点同地段办公用途市场评估楼面单价的</w:t>
      </w:r>
      <w:r w:rsidRPr="00042BF6">
        <w:rPr>
          <w:rFonts w:ascii="黑体" w:eastAsia="黑体" w:hAnsi="黑体" w:cs="黑体"/>
          <w:color w:val="000000" w:themeColor="text1"/>
          <w:sz w:val="28"/>
          <w:szCs w:val="28"/>
        </w:rPr>
        <w:t>30%</w:t>
      </w:r>
      <w:r w:rsidRPr="00042BF6">
        <w:rPr>
          <w:rFonts w:ascii="黑体" w:eastAsia="黑体" w:hAnsi="黑体" w:cs="黑体" w:hint="eastAsia"/>
          <w:color w:val="000000" w:themeColor="text1"/>
          <w:sz w:val="28"/>
          <w:szCs w:val="28"/>
        </w:rPr>
        <w:t>，乘以可分割的产业用房建筑面积补缴土地出让金，并按已出让用地剩余年期进行年限修正。</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黑体"/>
          <w:color w:val="000000" w:themeColor="text1"/>
          <w:sz w:val="28"/>
          <w:szCs w:val="28"/>
        </w:rPr>
      </w:pPr>
      <w:r w:rsidRPr="00042BF6">
        <w:rPr>
          <w:rFonts w:ascii="黑体" w:eastAsia="黑体" w:hAnsi="黑体" w:cs="黑体" w:hint="eastAsia"/>
          <w:color w:val="000000" w:themeColor="text1"/>
          <w:sz w:val="28"/>
          <w:szCs w:val="28"/>
        </w:rPr>
        <w:t>存量国有普通工业用地经批准调整为新型产业用地（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）的，在项目建成后办理不动产权登记手续前，需按不低于产业用房建筑面积20%的比例向所在区政府指定的机构无偿移交产业用房。</w:t>
      </w:r>
    </w:p>
    <w:p w:rsidR="00A379EF" w:rsidRPr="00042BF6" w:rsidRDefault="00EA5CB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无偿移交的产业用房不计入项目可售面积，不占用项目可分割转让比例，由所在区政府统筹管理，用于引进优质产业项目、安排公共服务设施或作其他公益性用途使用。</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工业用地配套行政办公及生活服务设施的用地面积和建筑面积占比符合本办法第九条规定的，仍按工业用地管理；超出部分须按对应用途市场评估价计收土地出让金。</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利用存量房产进行制造业与文化创意、科技服务业融合发展的，经发展改革、行业主管部门审核符合投资和产业要求的，在</w:t>
      </w:r>
      <w:r w:rsidRPr="00042BF6">
        <w:rPr>
          <w:rFonts w:ascii="黑体" w:eastAsia="黑体" w:hAnsi="黑体" w:cs="黑体"/>
          <w:color w:val="000000" w:themeColor="text1"/>
          <w:sz w:val="28"/>
          <w:szCs w:val="28"/>
        </w:rPr>
        <w:t>5</w:t>
      </w:r>
      <w:r w:rsidRPr="00042BF6">
        <w:rPr>
          <w:rFonts w:ascii="黑体" w:eastAsia="黑体" w:hAnsi="黑体" w:cs="黑体" w:hint="eastAsia"/>
          <w:color w:val="000000" w:themeColor="text1"/>
          <w:sz w:val="28"/>
          <w:szCs w:val="28"/>
        </w:rPr>
        <w:t>年过渡期内可继续按原用途和土地权利类型使用土地，</w:t>
      </w:r>
      <w:r w:rsidRPr="00042BF6">
        <w:rPr>
          <w:rFonts w:ascii="黑体" w:eastAsia="黑体" w:hAnsi="黑体" w:cs="黑体"/>
          <w:color w:val="000000" w:themeColor="text1"/>
          <w:sz w:val="28"/>
          <w:szCs w:val="28"/>
        </w:rPr>
        <w:t>5</w:t>
      </w:r>
      <w:r w:rsidRPr="00042BF6">
        <w:rPr>
          <w:rFonts w:ascii="黑体" w:eastAsia="黑体" w:hAnsi="黑体" w:cs="黑体" w:hint="eastAsia"/>
          <w:color w:val="000000" w:themeColor="text1"/>
          <w:sz w:val="28"/>
          <w:szCs w:val="28"/>
        </w:rPr>
        <w:t>年期满涉及转让须办理相关用地手续的，可按新的用途申请调整规划条件，办理协议出让手续，按照新用途和申请补缴出让金时点的市场评估价补缴土地出让金，办理不动产登记手续。</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本办法公布实施后，工业用地的供应合同须约定以下内容：</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（一）工业用地（含新型产业用地（</w:t>
      </w:r>
      <w:r w:rsidRPr="00042BF6">
        <w:rPr>
          <w:rFonts w:ascii="黑体" w:eastAsia="黑体" w:hAnsi="黑体" w:cs="黑体"/>
          <w:color w:val="000000" w:themeColor="text1"/>
          <w:kern w:val="0"/>
          <w:sz w:val="28"/>
          <w:szCs w:val="28"/>
        </w:rPr>
        <w:t>M0</w:t>
      </w:r>
      <w:r w:rsidRPr="00042BF6">
        <w:rPr>
          <w:rFonts w:ascii="黑体" w:eastAsia="黑体" w:hAnsi="黑体" w:cs="黑体" w:hint="eastAsia"/>
          <w:color w:val="000000" w:themeColor="text1"/>
          <w:kern w:val="0"/>
          <w:sz w:val="28"/>
          <w:szCs w:val="28"/>
        </w:rPr>
        <w:t>））在土地出让期内申请调整为商业、办公、商品住宅、旅游等非工业用途经营性用地的，须由土地出让人收回土地使用权,并根据收回时地上建筑物、构筑物及其附属设施的价值和剩余年期国有建设用地使用权的评估市场价格及经评估认定的直接损失给予土地使用者补偿。</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二）对于拟通过设立项目公司取得工业用地使用权或竞得土地后拟成立新公司进行开发建设的，应在参与公开出让申请书中明确项目公司或新公司的出资构成、股权结构等内容，且项目公司或新公司的经营范围、资质等必须符合土地出让公告中的出让条件。</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（三）应约定供后监管评价时点、评价要求和评价未达标的整改及处理措施。</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（四）工业用地的地下空间不得分割登记、分割转让和抵押。</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（五）工业用地内建筑物分割转让和再次转让的受让主体资格需由属地区政府出具书面审核意见。</w:t>
      </w:r>
    </w:p>
    <w:p w:rsidR="00A379EF" w:rsidRPr="00042BF6" w:rsidRDefault="00A379EF" w:rsidP="00CC6993">
      <w:pPr>
        <w:spacing w:beforeLines="50" w:afterLines="50" w:line="640" w:lineRule="exact"/>
        <w:ind w:firstLineChars="200" w:firstLine="560"/>
        <w:rPr>
          <w:rFonts w:ascii="黑体" w:eastAsia="黑体" w:hAnsi="黑体" w:cs="黑体"/>
          <w:color w:val="000000" w:themeColor="text1"/>
          <w:kern w:val="0"/>
          <w:sz w:val="28"/>
          <w:szCs w:val="28"/>
        </w:rPr>
      </w:pPr>
    </w:p>
    <w:p w:rsidR="00A379EF" w:rsidRPr="00042BF6" w:rsidRDefault="00A379EF" w:rsidP="00CC6993">
      <w:pPr>
        <w:spacing w:beforeLines="50" w:afterLines="50" w:line="640" w:lineRule="exact"/>
        <w:ind w:firstLineChars="200" w:firstLine="560"/>
        <w:rPr>
          <w:rFonts w:ascii="黑体" w:eastAsia="黑体" w:hAnsi="黑体" w:cs="Times New Roman"/>
          <w:color w:val="000000" w:themeColor="text1"/>
          <w:kern w:val="0"/>
          <w:sz w:val="28"/>
          <w:szCs w:val="28"/>
        </w:rPr>
      </w:pPr>
    </w:p>
    <w:p w:rsidR="00A379EF" w:rsidRPr="00042BF6" w:rsidRDefault="00EA5CBB" w:rsidP="00CC6993">
      <w:pPr>
        <w:pStyle w:val="a7"/>
        <w:numPr>
          <w:ilvl w:val="0"/>
          <w:numId w:val="1"/>
        </w:numPr>
        <w:shd w:val="clear" w:color="auto" w:fill="FFFFFF"/>
        <w:spacing w:beforeLines="50" w:beforeAutospacing="0" w:afterLines="50" w:afterAutospacing="0" w:line="640" w:lineRule="exact"/>
        <w:ind w:left="0" w:firstLineChars="200" w:firstLine="560"/>
        <w:jc w:val="center"/>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产权登记和分割转让</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工业用地使用权以宗地为单元进行登记，宗地范围内的建筑物首次登记和分割登记不改变已登记的宗地面积。土地用途登记为工业，并在不动产权证书上标注工业用地分类。</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以出让方式供应的工业用地，在按合同约定缴清土地出让金后依法办理土地使用权登记。</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以“先租后让”方式供应的工业用地在土地租赁期间不予办理土地使用权登记，其建设用地使用权不得转让、转租、抵押。</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以出让方式供应的普通工业用地，其建设用地使用权及建筑物依法可以转让、抵押，但原则上应当整体转让、抵押，且不得转让、抵押给自然人。</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各区政府指定机构在产业区块范围内建设的标准厂房，可按幢、层等固定界限为基本单元分割转让。</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新型产业用地（</w:t>
      </w:r>
      <w:r w:rsidRPr="00042BF6">
        <w:rPr>
          <w:rFonts w:ascii="黑体" w:eastAsia="黑体" w:hAnsi="黑体" w:cs="黑体"/>
          <w:color w:val="000000" w:themeColor="text1"/>
          <w:kern w:val="0"/>
          <w:sz w:val="28"/>
          <w:szCs w:val="28"/>
        </w:rPr>
        <w:t>M0</w:t>
      </w:r>
      <w:r w:rsidRPr="00042BF6">
        <w:rPr>
          <w:rFonts w:ascii="黑体" w:eastAsia="黑体" w:hAnsi="黑体" w:cs="黑体" w:hint="eastAsia"/>
          <w:color w:val="000000" w:themeColor="text1"/>
          <w:kern w:val="0"/>
          <w:sz w:val="28"/>
          <w:szCs w:val="28"/>
        </w:rPr>
        <w:t>）内的建筑，可在土地供应合同中约定按幢、层等固定界限为基本单元分割登记。分割登记的比例不超过总计容建筑面积在扣除配套行政办公及生活服务设施计容建筑面积后的</w:t>
      </w:r>
      <w:r w:rsidRPr="00042BF6">
        <w:rPr>
          <w:rFonts w:ascii="黑体" w:eastAsia="黑体" w:hAnsi="黑体" w:cs="黑体"/>
          <w:color w:val="000000" w:themeColor="text1"/>
          <w:kern w:val="0"/>
          <w:sz w:val="28"/>
          <w:szCs w:val="28"/>
        </w:rPr>
        <w:t>50%</w:t>
      </w:r>
      <w:r w:rsidRPr="00042BF6">
        <w:rPr>
          <w:rFonts w:ascii="黑体" w:eastAsia="黑体" w:hAnsi="黑体" w:cs="黑体" w:hint="eastAsia"/>
          <w:color w:val="000000" w:themeColor="text1"/>
          <w:kern w:val="0"/>
          <w:sz w:val="28"/>
          <w:szCs w:val="28"/>
        </w:rPr>
        <w:t>。</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新型产业用地（</w:t>
      </w:r>
      <w:r w:rsidRPr="00042BF6">
        <w:rPr>
          <w:rFonts w:ascii="黑体" w:eastAsia="黑体" w:hAnsi="黑体" w:cs="黑体"/>
          <w:color w:val="000000" w:themeColor="text1"/>
          <w:sz w:val="28"/>
          <w:szCs w:val="28"/>
        </w:rPr>
        <w:t>M0</w:t>
      </w:r>
      <w:r w:rsidRPr="00042BF6">
        <w:rPr>
          <w:rFonts w:ascii="黑体" w:eastAsia="黑体" w:hAnsi="黑体" w:cs="黑体" w:hint="eastAsia"/>
          <w:color w:val="000000" w:themeColor="text1"/>
          <w:sz w:val="28"/>
          <w:szCs w:val="28"/>
        </w:rPr>
        <w:t>）申请分割转让须执行以下规定：</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（一）申请分割的项目需以土地供应合同所对应的用地作为申请单元，涉及指标的考核、评价均以土地供应合同作为依据。</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（二）最小单元的建筑面积不低于</w:t>
      </w:r>
      <w:r w:rsidRPr="00042BF6">
        <w:rPr>
          <w:rFonts w:ascii="黑体" w:eastAsia="黑体" w:hAnsi="黑体" w:cs="黑体"/>
          <w:color w:val="000000" w:themeColor="text1"/>
          <w:kern w:val="0"/>
          <w:sz w:val="28"/>
          <w:szCs w:val="28"/>
        </w:rPr>
        <w:t>1000</w:t>
      </w:r>
      <w:r w:rsidRPr="00042BF6">
        <w:rPr>
          <w:rFonts w:ascii="黑体" w:eastAsia="黑体" w:hAnsi="黑体" w:cs="黑体" w:hint="eastAsia"/>
          <w:color w:val="000000" w:themeColor="text1"/>
          <w:kern w:val="0"/>
          <w:sz w:val="28"/>
          <w:szCs w:val="28"/>
        </w:rPr>
        <w:t>平方米，分割的总建筑面积不得超过土地供应合同约定，属于工业用地配套设施用途的建筑不得分割登记和转让</w:t>
      </w:r>
      <w:r w:rsidRPr="00042BF6">
        <w:rPr>
          <w:rFonts w:ascii="黑体" w:eastAsia="黑体" w:hAnsi="黑体" w:cs="黑体" w:hint="eastAsia"/>
          <w:color w:val="000000" w:themeColor="text1"/>
          <w:sz w:val="28"/>
          <w:szCs w:val="28"/>
        </w:rPr>
        <w:t>、抵押</w:t>
      </w:r>
      <w:r w:rsidRPr="00042BF6">
        <w:rPr>
          <w:rFonts w:ascii="黑体" w:eastAsia="黑体" w:hAnsi="黑体" w:cs="黑体" w:hint="eastAsia"/>
          <w:color w:val="000000" w:themeColor="text1"/>
          <w:kern w:val="0"/>
          <w:sz w:val="28"/>
          <w:szCs w:val="28"/>
        </w:rPr>
        <w:t>。</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（三）分割后的受让主体须为从事生产、研发、设计等环节的工业企业或生产性服务企业，并取得所在区政府出具的审核同意意见。</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（四）工业物业产权分割转让后，自办理不动产权登记之日起</w:t>
      </w:r>
      <w:r w:rsidRPr="00042BF6">
        <w:rPr>
          <w:rFonts w:ascii="黑体" w:eastAsia="黑体" w:hAnsi="黑体" w:cs="黑体"/>
          <w:color w:val="000000" w:themeColor="text1"/>
          <w:kern w:val="0"/>
          <w:sz w:val="28"/>
          <w:szCs w:val="28"/>
        </w:rPr>
        <w:t>5</w:t>
      </w:r>
      <w:r w:rsidRPr="00042BF6">
        <w:rPr>
          <w:rFonts w:ascii="黑体" w:eastAsia="黑体" w:hAnsi="黑体" w:cs="黑体" w:hint="eastAsia"/>
          <w:color w:val="000000" w:themeColor="text1"/>
          <w:kern w:val="0"/>
          <w:sz w:val="28"/>
          <w:szCs w:val="28"/>
        </w:rPr>
        <w:t>年内不得再次转让。</w:t>
      </w:r>
      <w:r w:rsidRPr="00042BF6">
        <w:rPr>
          <w:rFonts w:ascii="黑体" w:eastAsia="黑体" w:hAnsi="黑体" w:cs="黑体"/>
          <w:color w:val="000000" w:themeColor="text1"/>
          <w:kern w:val="0"/>
          <w:sz w:val="28"/>
          <w:szCs w:val="28"/>
        </w:rPr>
        <w:t>5</w:t>
      </w:r>
      <w:r w:rsidRPr="00042BF6">
        <w:rPr>
          <w:rFonts w:ascii="黑体" w:eastAsia="黑体" w:hAnsi="黑体" w:cs="黑体" w:hint="eastAsia"/>
          <w:color w:val="000000" w:themeColor="text1"/>
          <w:kern w:val="0"/>
          <w:sz w:val="28"/>
          <w:szCs w:val="28"/>
        </w:rPr>
        <w:t>年后转让的，新的受让主体需符合本条第（三）项的要求。</w:t>
      </w:r>
    </w:p>
    <w:p w:rsidR="00A379EF" w:rsidRPr="00042BF6" w:rsidRDefault="00A379EF" w:rsidP="00CC6993">
      <w:pPr>
        <w:spacing w:beforeLines="50" w:afterLines="50" w:line="640" w:lineRule="exact"/>
        <w:ind w:firstLineChars="200" w:firstLine="560"/>
        <w:rPr>
          <w:rFonts w:ascii="黑体" w:eastAsia="黑体" w:hAnsi="黑体" w:cs="Times New Roman"/>
          <w:color w:val="000000" w:themeColor="text1"/>
          <w:sz w:val="28"/>
          <w:szCs w:val="28"/>
        </w:rPr>
      </w:pPr>
    </w:p>
    <w:p w:rsidR="00A379EF" w:rsidRPr="00042BF6" w:rsidRDefault="00EA5CBB" w:rsidP="00CC6993">
      <w:pPr>
        <w:pStyle w:val="a7"/>
        <w:numPr>
          <w:ilvl w:val="0"/>
          <w:numId w:val="1"/>
        </w:numPr>
        <w:shd w:val="clear" w:color="auto" w:fill="FFFFFF"/>
        <w:spacing w:beforeLines="50" w:beforeAutospacing="0" w:afterLines="50" w:afterAutospacing="0" w:line="640" w:lineRule="exact"/>
        <w:ind w:left="0" w:firstLineChars="200" w:firstLine="560"/>
        <w:jc w:val="center"/>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供后监管</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各区政府、产业区块管理机构应承担工业用地监管职责，对产业准入、转售、转租、产出指标、改变用途等进行重点监管，确保工业用地真正用于产业项目。</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建立工业用地项目土地利用绩效评估制度。各区政府应根据项目投入产出监管协议和土地供应合同约定，按照“谁提出，谁监管”的原则，会同提出关联条件的部门在达产阶段、达产后每</w:t>
      </w:r>
      <w:r w:rsidRPr="00042BF6">
        <w:rPr>
          <w:rFonts w:ascii="黑体" w:eastAsia="黑体" w:hAnsi="黑体" w:cs="黑体"/>
          <w:color w:val="000000" w:themeColor="text1"/>
          <w:sz w:val="28"/>
          <w:szCs w:val="28"/>
        </w:rPr>
        <w:t>3</w:t>
      </w:r>
      <w:r w:rsidRPr="00042BF6">
        <w:rPr>
          <w:rFonts w:ascii="黑体" w:eastAsia="黑体" w:hAnsi="黑体" w:cs="黑体" w:hint="eastAsia"/>
          <w:color w:val="000000" w:themeColor="text1"/>
          <w:sz w:val="28"/>
          <w:szCs w:val="28"/>
        </w:rPr>
        <w:t>至</w:t>
      </w:r>
      <w:r w:rsidRPr="00042BF6">
        <w:rPr>
          <w:rFonts w:ascii="黑体" w:eastAsia="黑体" w:hAnsi="黑体" w:cs="黑体"/>
          <w:color w:val="000000" w:themeColor="text1"/>
          <w:sz w:val="28"/>
          <w:szCs w:val="28"/>
        </w:rPr>
        <w:t>5</w:t>
      </w:r>
      <w:r w:rsidRPr="00042BF6">
        <w:rPr>
          <w:rFonts w:ascii="黑体" w:eastAsia="黑体" w:hAnsi="黑体" w:cs="黑体" w:hint="eastAsia"/>
          <w:color w:val="000000" w:themeColor="text1"/>
          <w:sz w:val="28"/>
          <w:szCs w:val="28"/>
        </w:rPr>
        <w:t>年、出让年期到期前</w:t>
      </w:r>
      <w:r w:rsidRPr="00042BF6">
        <w:rPr>
          <w:rFonts w:ascii="黑体" w:eastAsia="黑体" w:hAnsi="黑体" w:cs="黑体"/>
          <w:color w:val="000000" w:themeColor="text1"/>
          <w:sz w:val="28"/>
          <w:szCs w:val="28"/>
        </w:rPr>
        <w:t>1</w:t>
      </w:r>
      <w:r w:rsidRPr="00042BF6">
        <w:rPr>
          <w:rFonts w:ascii="黑体" w:eastAsia="黑体" w:hAnsi="黑体" w:cs="黑体" w:hint="eastAsia"/>
          <w:color w:val="000000" w:themeColor="text1"/>
          <w:sz w:val="28"/>
          <w:szCs w:val="28"/>
        </w:rPr>
        <w:t>年等阶段，对投资总额、投资强度等产业政策执行情况和投资情况（含项目）、单位面积产出和税收等产出情况以及土地供应合同和履约监管协议书约定的其他指标完成情况进行评估考核。</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各区政府应综合运用经济、行政和法律等手段，会同相关职能部门依法处置闲置和违约工业用地：</w:t>
      </w:r>
    </w:p>
    <w:p w:rsidR="00A379EF" w:rsidRPr="00042BF6" w:rsidRDefault="00EA5CBB" w:rsidP="00CC6993">
      <w:pPr>
        <w:widowControl/>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（一）工业企业因自身原因终止项目建设的，可向出让人提出退还土地的申请。在供应合同约定的开工建设日期届满一年前不少于</w:t>
      </w:r>
      <w:r w:rsidRPr="00042BF6">
        <w:rPr>
          <w:rFonts w:ascii="黑体" w:eastAsia="黑体" w:hAnsi="黑体" w:cs="黑体"/>
          <w:color w:val="000000" w:themeColor="text1"/>
          <w:kern w:val="0"/>
          <w:sz w:val="28"/>
          <w:szCs w:val="28"/>
        </w:rPr>
        <w:t>60</w:t>
      </w:r>
      <w:r w:rsidRPr="00042BF6">
        <w:rPr>
          <w:rFonts w:ascii="黑体" w:eastAsia="黑体" w:hAnsi="黑体" w:cs="黑体" w:hint="eastAsia"/>
          <w:color w:val="000000" w:themeColor="text1"/>
          <w:kern w:val="0"/>
          <w:sz w:val="28"/>
          <w:szCs w:val="28"/>
        </w:rPr>
        <w:t>日提出申请的，出让人在扣除定金后退还企业已支付的国有建设用地使用权出让价款；超过一年但未满两年，并在届满两年前不少于</w:t>
      </w:r>
      <w:r w:rsidRPr="00042BF6">
        <w:rPr>
          <w:rFonts w:ascii="黑体" w:eastAsia="黑体" w:hAnsi="黑体" w:cs="黑体"/>
          <w:color w:val="000000" w:themeColor="text1"/>
          <w:kern w:val="0"/>
          <w:sz w:val="28"/>
          <w:szCs w:val="28"/>
        </w:rPr>
        <w:t>60</w:t>
      </w:r>
      <w:r w:rsidRPr="00042BF6">
        <w:rPr>
          <w:rFonts w:ascii="黑体" w:eastAsia="黑体" w:hAnsi="黑体" w:cs="黑体" w:hint="eastAsia"/>
          <w:color w:val="000000" w:themeColor="text1"/>
          <w:kern w:val="0"/>
          <w:sz w:val="28"/>
          <w:szCs w:val="28"/>
        </w:rPr>
        <w:t>日提出申请的，出让人在扣除定金，并按规定征收土地闲置费后，可退还剩余的已付国有建设用地使用权出让价款。</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（二）对在达产评估、过程评估中未达到合同约定标准的，按照合同约定督促整改；逾期未达到整改要求的，可按合同约定收取违约金直至收回土地使用权。</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（三）对因企业自身原因造成土地闲置满一年不满两年的，按土地使用权出让金的</w:t>
      </w:r>
      <w:r w:rsidRPr="00042BF6">
        <w:rPr>
          <w:rFonts w:ascii="黑体" w:eastAsia="黑体" w:hAnsi="黑体" w:cs="黑体"/>
          <w:color w:val="000000" w:themeColor="text1"/>
          <w:kern w:val="0"/>
          <w:sz w:val="28"/>
          <w:szCs w:val="28"/>
        </w:rPr>
        <w:t>20%</w:t>
      </w:r>
      <w:r w:rsidRPr="00042BF6">
        <w:rPr>
          <w:rFonts w:ascii="黑体" w:eastAsia="黑体" w:hAnsi="黑体" w:cs="黑体" w:hint="eastAsia"/>
          <w:color w:val="000000" w:themeColor="text1"/>
          <w:kern w:val="0"/>
          <w:sz w:val="28"/>
          <w:szCs w:val="28"/>
        </w:rPr>
        <w:t>征收土地闲置费；对土地闲置满两年，依法应当无偿收回的，予以收回，重新安排使用；对属于恶意囤地的闲置用地，不予办理土地转让、出租、抵押和变更登记手续。</w:t>
      </w:r>
    </w:p>
    <w:p w:rsidR="00A379EF" w:rsidRPr="00042BF6" w:rsidRDefault="00EA5CBB" w:rsidP="00CC6993">
      <w:pPr>
        <w:spacing w:beforeLines="50" w:afterLines="50" w:line="640" w:lineRule="exact"/>
        <w:ind w:firstLineChars="200" w:firstLine="560"/>
        <w:rPr>
          <w:rFonts w:ascii="黑体" w:eastAsia="黑体" w:hAnsi="黑体" w:cs="Times New Roman"/>
          <w:color w:val="000000" w:themeColor="text1"/>
          <w:kern w:val="0"/>
          <w:sz w:val="28"/>
          <w:szCs w:val="28"/>
        </w:rPr>
      </w:pPr>
      <w:r w:rsidRPr="00042BF6">
        <w:rPr>
          <w:rFonts w:ascii="黑体" w:eastAsia="黑体" w:hAnsi="黑体" w:cs="黑体" w:hint="eastAsia"/>
          <w:color w:val="000000" w:themeColor="text1"/>
          <w:kern w:val="0"/>
          <w:sz w:val="28"/>
          <w:szCs w:val="28"/>
        </w:rPr>
        <w:t>（四）对工业用地擅自改变用途的，责令限期整改，恢复工业用途。整改不到位的，应联合工商、税务、工业和信息化等部门对用地单位采取行政处置措施、限制其生产经营活动，情节严重的，出让人可按照土地供应合同约定解除供应合同，收回工业用地使用权。</w:t>
      </w:r>
    </w:p>
    <w:p w:rsidR="00A379EF" w:rsidRPr="00042BF6" w:rsidRDefault="00A379EF" w:rsidP="00CC6993">
      <w:pPr>
        <w:spacing w:beforeLines="50" w:afterLines="50" w:line="640" w:lineRule="exact"/>
        <w:ind w:firstLineChars="200" w:firstLine="560"/>
        <w:jc w:val="center"/>
        <w:rPr>
          <w:rFonts w:ascii="黑体" w:eastAsia="黑体" w:hAnsi="黑体" w:cs="Times New Roman"/>
          <w:color w:val="000000" w:themeColor="text1"/>
          <w:sz w:val="28"/>
          <w:szCs w:val="28"/>
        </w:rPr>
      </w:pPr>
    </w:p>
    <w:p w:rsidR="00A379EF" w:rsidRPr="00042BF6" w:rsidRDefault="00EA5CBB" w:rsidP="00CC6993">
      <w:pPr>
        <w:pStyle w:val="a7"/>
        <w:numPr>
          <w:ilvl w:val="0"/>
          <w:numId w:val="1"/>
        </w:numPr>
        <w:shd w:val="clear" w:color="auto" w:fill="FFFFFF"/>
        <w:spacing w:beforeLines="50" w:beforeAutospacing="0" w:afterLines="50" w:afterAutospacing="0" w:line="640" w:lineRule="exact"/>
        <w:ind w:left="0" w:firstLineChars="200" w:firstLine="560"/>
        <w:jc w:val="center"/>
        <w:rPr>
          <w:rFonts w:ascii="黑体" w:eastAsia="黑体" w:hAnsi="黑体" w:cs="Times New Roman"/>
          <w:color w:val="000000" w:themeColor="text1"/>
          <w:sz w:val="28"/>
          <w:szCs w:val="28"/>
        </w:rPr>
      </w:pPr>
      <w:r w:rsidRPr="00042BF6">
        <w:rPr>
          <w:rStyle w:val="a8"/>
          <w:rFonts w:ascii="黑体" w:eastAsia="黑体" w:hAnsi="黑体" w:cs="黑体" w:hint="eastAsia"/>
          <w:b w:val="0"/>
          <w:bCs w:val="0"/>
          <w:color w:val="000000" w:themeColor="text1"/>
          <w:sz w:val="28"/>
          <w:szCs w:val="28"/>
        </w:rPr>
        <w:t>附则</w:t>
      </w:r>
    </w:p>
    <w:p w:rsidR="00A379EF" w:rsidRPr="00042BF6" w:rsidRDefault="00EA5CBB" w:rsidP="00CC6993">
      <w:pPr>
        <w:pStyle w:val="a7"/>
        <w:numPr>
          <w:ilvl w:val="0"/>
          <w:numId w:val="2"/>
        </w:numPr>
        <w:shd w:val="clear" w:color="auto" w:fill="FFFFFF"/>
        <w:spacing w:beforeLines="50" w:beforeAutospacing="0" w:afterLines="50" w:afterAutospacing="0" w:line="640" w:lineRule="exact"/>
        <w:ind w:left="0" w:firstLineChars="200" w:firstLine="560"/>
        <w:outlineLvl w:val="0"/>
        <w:rPr>
          <w:rFonts w:ascii="黑体" w:eastAsia="黑体" w:hAnsi="黑体" w:cs="Times New Roman"/>
          <w:color w:val="000000" w:themeColor="text1"/>
          <w:sz w:val="28"/>
          <w:szCs w:val="28"/>
        </w:rPr>
      </w:pPr>
      <w:r w:rsidRPr="00042BF6">
        <w:rPr>
          <w:rFonts w:ascii="黑体" w:eastAsia="黑体" w:hAnsi="黑体" w:cs="黑体" w:hint="eastAsia"/>
          <w:color w:val="000000" w:themeColor="text1"/>
          <w:sz w:val="28"/>
          <w:szCs w:val="28"/>
        </w:rPr>
        <w:t>本办法自印发之日起施行，有效期</w:t>
      </w:r>
      <w:r w:rsidRPr="00042BF6">
        <w:rPr>
          <w:rFonts w:ascii="黑体" w:eastAsia="黑体" w:hAnsi="黑体" w:cs="黑体"/>
          <w:color w:val="000000" w:themeColor="text1"/>
          <w:sz w:val="28"/>
          <w:szCs w:val="28"/>
        </w:rPr>
        <w:t>5</w:t>
      </w:r>
      <w:r w:rsidRPr="00042BF6">
        <w:rPr>
          <w:rFonts w:ascii="黑体" w:eastAsia="黑体" w:hAnsi="黑体" w:cs="黑体" w:hint="eastAsia"/>
          <w:color w:val="000000" w:themeColor="text1"/>
          <w:sz w:val="28"/>
          <w:szCs w:val="28"/>
        </w:rPr>
        <w:t>年。《广州市提高工业用地利用效率试行办法》（穗府办〔</w:t>
      </w:r>
      <w:r w:rsidRPr="00042BF6">
        <w:rPr>
          <w:rFonts w:ascii="黑体" w:eastAsia="黑体" w:hAnsi="黑体" w:cs="黑体"/>
          <w:color w:val="000000" w:themeColor="text1"/>
          <w:sz w:val="28"/>
          <w:szCs w:val="28"/>
        </w:rPr>
        <w:t>2015</w:t>
      </w:r>
      <w:r w:rsidRPr="00042BF6">
        <w:rPr>
          <w:rFonts w:ascii="黑体" w:eastAsia="黑体" w:hAnsi="黑体" w:cs="黑体" w:hint="eastAsia"/>
          <w:color w:val="000000" w:themeColor="text1"/>
          <w:sz w:val="28"/>
          <w:szCs w:val="28"/>
        </w:rPr>
        <w:t>〕</w:t>
      </w:r>
      <w:r w:rsidRPr="00042BF6">
        <w:rPr>
          <w:rFonts w:ascii="黑体" w:eastAsia="黑体" w:hAnsi="黑体" w:cs="黑体"/>
          <w:color w:val="000000" w:themeColor="text1"/>
          <w:sz w:val="28"/>
          <w:szCs w:val="28"/>
        </w:rPr>
        <w:t>11</w:t>
      </w:r>
      <w:r w:rsidRPr="00042BF6">
        <w:rPr>
          <w:rFonts w:ascii="黑体" w:eastAsia="黑体" w:hAnsi="黑体" w:cs="黑体" w:hint="eastAsia"/>
          <w:color w:val="000000" w:themeColor="text1"/>
          <w:sz w:val="28"/>
          <w:szCs w:val="28"/>
        </w:rPr>
        <w:t>号）同时废止。</w:t>
      </w:r>
    </w:p>
    <w:p w:rsidR="00A379EF" w:rsidRPr="00042BF6" w:rsidRDefault="00A379EF"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p>
    <w:p w:rsidR="00A379EF" w:rsidRPr="00042BF6" w:rsidRDefault="00A379EF"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p>
    <w:p w:rsidR="00A379EF" w:rsidRPr="00042BF6" w:rsidRDefault="00A379EF"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p>
    <w:p w:rsidR="00A379EF" w:rsidRPr="00042BF6" w:rsidRDefault="00A379EF"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color w:val="000000" w:themeColor="text1"/>
          <w:sz w:val="28"/>
          <w:szCs w:val="28"/>
        </w:rPr>
      </w:pPr>
    </w:p>
    <w:p w:rsidR="00A379EF" w:rsidRDefault="00A379EF"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hint="eastAsia"/>
          <w:color w:val="000000" w:themeColor="text1"/>
          <w:sz w:val="28"/>
          <w:szCs w:val="28"/>
        </w:rPr>
      </w:pPr>
    </w:p>
    <w:p w:rsidR="008E5CDB" w:rsidRDefault="008E5CD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hint="eastAsia"/>
          <w:color w:val="000000" w:themeColor="text1"/>
          <w:sz w:val="28"/>
          <w:szCs w:val="28"/>
        </w:rPr>
      </w:pPr>
    </w:p>
    <w:p w:rsidR="008E5CDB" w:rsidRDefault="008E5CD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hint="eastAsia"/>
          <w:color w:val="000000" w:themeColor="text1"/>
          <w:sz w:val="28"/>
          <w:szCs w:val="28"/>
        </w:rPr>
      </w:pPr>
    </w:p>
    <w:p w:rsidR="008E5CDB" w:rsidRDefault="008E5CDB" w:rsidP="00CC6993">
      <w:pPr>
        <w:pStyle w:val="a7"/>
        <w:shd w:val="clear" w:color="auto" w:fill="FFFFFF"/>
        <w:spacing w:beforeLines="50" w:beforeAutospacing="0" w:afterLines="50" w:afterAutospacing="0" w:line="640" w:lineRule="exact"/>
        <w:ind w:firstLineChars="200" w:firstLine="560"/>
        <w:outlineLvl w:val="0"/>
        <w:rPr>
          <w:rFonts w:ascii="黑体" w:eastAsia="黑体" w:hAnsi="黑体" w:cs="Times New Roman" w:hint="eastAsia"/>
          <w:color w:val="000000" w:themeColor="text1"/>
          <w:sz w:val="28"/>
          <w:szCs w:val="28"/>
        </w:rPr>
      </w:pPr>
    </w:p>
    <w:sectPr w:rsidR="008E5CDB" w:rsidSect="00A379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15" w:rsidRDefault="00427E15" w:rsidP="00042BF6">
      <w:r>
        <w:separator/>
      </w:r>
    </w:p>
  </w:endnote>
  <w:endnote w:type="continuationSeparator" w:id="1">
    <w:p w:rsidR="00427E15" w:rsidRDefault="00427E15" w:rsidP="00042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15" w:rsidRDefault="00427E15" w:rsidP="00042BF6">
      <w:r>
        <w:separator/>
      </w:r>
    </w:p>
  </w:footnote>
  <w:footnote w:type="continuationSeparator" w:id="1">
    <w:p w:rsidR="00427E15" w:rsidRDefault="00427E15" w:rsidP="00042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F21"/>
    <w:multiLevelType w:val="multilevel"/>
    <w:tmpl w:val="1CA46F21"/>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7C26C21"/>
    <w:multiLevelType w:val="multilevel"/>
    <w:tmpl w:val="27C26C21"/>
    <w:lvl w:ilvl="0">
      <w:start w:val="1"/>
      <w:numFmt w:val="chineseCountingThousand"/>
      <w:lvlText w:val="第%1条"/>
      <w:lvlJc w:val="left"/>
      <w:pPr>
        <w:ind w:left="1838"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DCC"/>
    <w:rsid w:val="00001852"/>
    <w:rsid w:val="00007D50"/>
    <w:rsid w:val="00021CA8"/>
    <w:rsid w:val="00042BF6"/>
    <w:rsid w:val="00051E68"/>
    <w:rsid w:val="00055E97"/>
    <w:rsid w:val="0007161E"/>
    <w:rsid w:val="00081F1B"/>
    <w:rsid w:val="0008318C"/>
    <w:rsid w:val="0008638D"/>
    <w:rsid w:val="000972C3"/>
    <w:rsid w:val="000A368C"/>
    <w:rsid w:val="000A5DCC"/>
    <w:rsid w:val="000C1841"/>
    <w:rsid w:val="000C79CB"/>
    <w:rsid w:val="000F146C"/>
    <w:rsid w:val="000F68F3"/>
    <w:rsid w:val="0011337D"/>
    <w:rsid w:val="00133460"/>
    <w:rsid w:val="00140EA1"/>
    <w:rsid w:val="00153BA4"/>
    <w:rsid w:val="00156E10"/>
    <w:rsid w:val="00163F66"/>
    <w:rsid w:val="00173DFC"/>
    <w:rsid w:val="001764C9"/>
    <w:rsid w:val="00180533"/>
    <w:rsid w:val="00181857"/>
    <w:rsid w:val="001834D8"/>
    <w:rsid w:val="00185BA5"/>
    <w:rsid w:val="001A4338"/>
    <w:rsid w:val="001A6027"/>
    <w:rsid w:val="001A6BCD"/>
    <w:rsid w:val="001B3516"/>
    <w:rsid w:val="001C2E37"/>
    <w:rsid w:val="001D66CC"/>
    <w:rsid w:val="00204ACD"/>
    <w:rsid w:val="00225981"/>
    <w:rsid w:val="0024063B"/>
    <w:rsid w:val="002447AA"/>
    <w:rsid w:val="00245A1B"/>
    <w:rsid w:val="00253D2A"/>
    <w:rsid w:val="002578ED"/>
    <w:rsid w:val="002646AB"/>
    <w:rsid w:val="00274B51"/>
    <w:rsid w:val="002905CD"/>
    <w:rsid w:val="002A2B6B"/>
    <w:rsid w:val="002A79A8"/>
    <w:rsid w:val="002B4B6D"/>
    <w:rsid w:val="002B7A26"/>
    <w:rsid w:val="002D5A5A"/>
    <w:rsid w:val="002D6C7A"/>
    <w:rsid w:val="002E0363"/>
    <w:rsid w:val="00307D88"/>
    <w:rsid w:val="003230C3"/>
    <w:rsid w:val="00336007"/>
    <w:rsid w:val="0034615B"/>
    <w:rsid w:val="00352885"/>
    <w:rsid w:val="00366FD0"/>
    <w:rsid w:val="00370C19"/>
    <w:rsid w:val="00374468"/>
    <w:rsid w:val="00374813"/>
    <w:rsid w:val="00383602"/>
    <w:rsid w:val="00383E23"/>
    <w:rsid w:val="00393CDA"/>
    <w:rsid w:val="00393E02"/>
    <w:rsid w:val="003A40B3"/>
    <w:rsid w:val="003B331D"/>
    <w:rsid w:val="003C0C8B"/>
    <w:rsid w:val="003C74B3"/>
    <w:rsid w:val="003D6431"/>
    <w:rsid w:val="003E05B6"/>
    <w:rsid w:val="003F0FC8"/>
    <w:rsid w:val="003F33DB"/>
    <w:rsid w:val="003F46D9"/>
    <w:rsid w:val="00402423"/>
    <w:rsid w:val="0040649D"/>
    <w:rsid w:val="004151F8"/>
    <w:rsid w:val="00420886"/>
    <w:rsid w:val="00427E15"/>
    <w:rsid w:val="0043071D"/>
    <w:rsid w:val="00434FC8"/>
    <w:rsid w:val="00435287"/>
    <w:rsid w:val="00452629"/>
    <w:rsid w:val="0046667E"/>
    <w:rsid w:val="004676FE"/>
    <w:rsid w:val="00495635"/>
    <w:rsid w:val="004A0A7B"/>
    <w:rsid w:val="004A1F92"/>
    <w:rsid w:val="004A5EB1"/>
    <w:rsid w:val="004C1817"/>
    <w:rsid w:val="004C19C6"/>
    <w:rsid w:val="004C7A49"/>
    <w:rsid w:val="004D0A39"/>
    <w:rsid w:val="004D4CC4"/>
    <w:rsid w:val="004F1153"/>
    <w:rsid w:val="00504B82"/>
    <w:rsid w:val="00507AB9"/>
    <w:rsid w:val="00517851"/>
    <w:rsid w:val="00522493"/>
    <w:rsid w:val="00526959"/>
    <w:rsid w:val="00547D9F"/>
    <w:rsid w:val="0055061F"/>
    <w:rsid w:val="005779C6"/>
    <w:rsid w:val="00581ED9"/>
    <w:rsid w:val="00585570"/>
    <w:rsid w:val="0058796B"/>
    <w:rsid w:val="00593DBC"/>
    <w:rsid w:val="00596D12"/>
    <w:rsid w:val="005B363A"/>
    <w:rsid w:val="005B6B1A"/>
    <w:rsid w:val="005C36B0"/>
    <w:rsid w:val="005C3706"/>
    <w:rsid w:val="005C5F00"/>
    <w:rsid w:val="005D1D72"/>
    <w:rsid w:val="005D250F"/>
    <w:rsid w:val="005E22BA"/>
    <w:rsid w:val="006364F7"/>
    <w:rsid w:val="00642D55"/>
    <w:rsid w:val="00653941"/>
    <w:rsid w:val="00670F34"/>
    <w:rsid w:val="006A135A"/>
    <w:rsid w:val="006A1EC2"/>
    <w:rsid w:val="006A4A31"/>
    <w:rsid w:val="006B699E"/>
    <w:rsid w:val="006C25E3"/>
    <w:rsid w:val="006C7797"/>
    <w:rsid w:val="006D58EC"/>
    <w:rsid w:val="006E4348"/>
    <w:rsid w:val="006F6A36"/>
    <w:rsid w:val="006F6FDD"/>
    <w:rsid w:val="007074AD"/>
    <w:rsid w:val="00712A4F"/>
    <w:rsid w:val="00715C5E"/>
    <w:rsid w:val="007216BA"/>
    <w:rsid w:val="00726712"/>
    <w:rsid w:val="00731681"/>
    <w:rsid w:val="007440EC"/>
    <w:rsid w:val="0078203A"/>
    <w:rsid w:val="007960BA"/>
    <w:rsid w:val="00797FC1"/>
    <w:rsid w:val="007A3642"/>
    <w:rsid w:val="007B597A"/>
    <w:rsid w:val="007C0FC3"/>
    <w:rsid w:val="007C4672"/>
    <w:rsid w:val="007D66C8"/>
    <w:rsid w:val="007D7597"/>
    <w:rsid w:val="007E144A"/>
    <w:rsid w:val="007E35AB"/>
    <w:rsid w:val="007E6CDD"/>
    <w:rsid w:val="007F0958"/>
    <w:rsid w:val="007F79B9"/>
    <w:rsid w:val="008018F2"/>
    <w:rsid w:val="00806250"/>
    <w:rsid w:val="00810706"/>
    <w:rsid w:val="00841DF5"/>
    <w:rsid w:val="00850245"/>
    <w:rsid w:val="008578C3"/>
    <w:rsid w:val="00862966"/>
    <w:rsid w:val="00871DB2"/>
    <w:rsid w:val="00873C70"/>
    <w:rsid w:val="00882C59"/>
    <w:rsid w:val="00892639"/>
    <w:rsid w:val="00897334"/>
    <w:rsid w:val="008A5538"/>
    <w:rsid w:val="008B0E2F"/>
    <w:rsid w:val="008B1298"/>
    <w:rsid w:val="008C5486"/>
    <w:rsid w:val="008C5F08"/>
    <w:rsid w:val="008C7135"/>
    <w:rsid w:val="008D2008"/>
    <w:rsid w:val="008D6AD4"/>
    <w:rsid w:val="008E2A28"/>
    <w:rsid w:val="008E5CDB"/>
    <w:rsid w:val="0090668A"/>
    <w:rsid w:val="00907D0C"/>
    <w:rsid w:val="00912CB4"/>
    <w:rsid w:val="00914C90"/>
    <w:rsid w:val="0092117B"/>
    <w:rsid w:val="0092156B"/>
    <w:rsid w:val="00923407"/>
    <w:rsid w:val="00927C34"/>
    <w:rsid w:val="00931FCA"/>
    <w:rsid w:val="0095594E"/>
    <w:rsid w:val="00966139"/>
    <w:rsid w:val="009672D0"/>
    <w:rsid w:val="0098478D"/>
    <w:rsid w:val="00986501"/>
    <w:rsid w:val="00992B21"/>
    <w:rsid w:val="00995E06"/>
    <w:rsid w:val="00997660"/>
    <w:rsid w:val="009A33F3"/>
    <w:rsid w:val="009C06C5"/>
    <w:rsid w:val="009C1720"/>
    <w:rsid w:val="009C2310"/>
    <w:rsid w:val="009C5325"/>
    <w:rsid w:val="009C7778"/>
    <w:rsid w:val="009D500C"/>
    <w:rsid w:val="009D6181"/>
    <w:rsid w:val="009E4526"/>
    <w:rsid w:val="00A17956"/>
    <w:rsid w:val="00A336AE"/>
    <w:rsid w:val="00A379EF"/>
    <w:rsid w:val="00A41611"/>
    <w:rsid w:val="00A47C73"/>
    <w:rsid w:val="00A50F3D"/>
    <w:rsid w:val="00A55A08"/>
    <w:rsid w:val="00A628E3"/>
    <w:rsid w:val="00A67E89"/>
    <w:rsid w:val="00A75A61"/>
    <w:rsid w:val="00A92D05"/>
    <w:rsid w:val="00A96C36"/>
    <w:rsid w:val="00AB6208"/>
    <w:rsid w:val="00AC2D0B"/>
    <w:rsid w:val="00AC585D"/>
    <w:rsid w:val="00AF1176"/>
    <w:rsid w:val="00B070A1"/>
    <w:rsid w:val="00B109A8"/>
    <w:rsid w:val="00B32608"/>
    <w:rsid w:val="00B32C1F"/>
    <w:rsid w:val="00B34FF1"/>
    <w:rsid w:val="00B373A0"/>
    <w:rsid w:val="00B4075A"/>
    <w:rsid w:val="00B56EE7"/>
    <w:rsid w:val="00B670AD"/>
    <w:rsid w:val="00B825AC"/>
    <w:rsid w:val="00BB0071"/>
    <w:rsid w:val="00BC2AD6"/>
    <w:rsid w:val="00BC74DD"/>
    <w:rsid w:val="00BF08CD"/>
    <w:rsid w:val="00C007A6"/>
    <w:rsid w:val="00C157F7"/>
    <w:rsid w:val="00C266AF"/>
    <w:rsid w:val="00C26E0A"/>
    <w:rsid w:val="00C36FE6"/>
    <w:rsid w:val="00C41DC4"/>
    <w:rsid w:val="00C448A1"/>
    <w:rsid w:val="00C539EC"/>
    <w:rsid w:val="00C60618"/>
    <w:rsid w:val="00C6404E"/>
    <w:rsid w:val="00C64C2E"/>
    <w:rsid w:val="00C669EC"/>
    <w:rsid w:val="00CA7AAD"/>
    <w:rsid w:val="00CB0A2B"/>
    <w:rsid w:val="00CC1570"/>
    <w:rsid w:val="00CC2D87"/>
    <w:rsid w:val="00CC44E7"/>
    <w:rsid w:val="00CC68E3"/>
    <w:rsid w:val="00CC6993"/>
    <w:rsid w:val="00CD1A52"/>
    <w:rsid w:val="00CD1AA8"/>
    <w:rsid w:val="00CE1CAB"/>
    <w:rsid w:val="00CF0F4B"/>
    <w:rsid w:val="00CF5249"/>
    <w:rsid w:val="00CF638F"/>
    <w:rsid w:val="00D12FE0"/>
    <w:rsid w:val="00D1417B"/>
    <w:rsid w:val="00D211F9"/>
    <w:rsid w:val="00D26B32"/>
    <w:rsid w:val="00D35EA0"/>
    <w:rsid w:val="00D5246B"/>
    <w:rsid w:val="00D52B84"/>
    <w:rsid w:val="00D65D64"/>
    <w:rsid w:val="00D7626B"/>
    <w:rsid w:val="00D864DA"/>
    <w:rsid w:val="00DA3B66"/>
    <w:rsid w:val="00DB4EE1"/>
    <w:rsid w:val="00DC5DB7"/>
    <w:rsid w:val="00DC6B14"/>
    <w:rsid w:val="00DD6062"/>
    <w:rsid w:val="00DE0329"/>
    <w:rsid w:val="00DE2822"/>
    <w:rsid w:val="00DF778C"/>
    <w:rsid w:val="00E04450"/>
    <w:rsid w:val="00E21398"/>
    <w:rsid w:val="00E31764"/>
    <w:rsid w:val="00E32809"/>
    <w:rsid w:val="00E34FA6"/>
    <w:rsid w:val="00E674DB"/>
    <w:rsid w:val="00E71976"/>
    <w:rsid w:val="00E73675"/>
    <w:rsid w:val="00E76C80"/>
    <w:rsid w:val="00E77E6B"/>
    <w:rsid w:val="00EA4653"/>
    <w:rsid w:val="00EA5CBB"/>
    <w:rsid w:val="00EB645C"/>
    <w:rsid w:val="00ED777A"/>
    <w:rsid w:val="00EE3C68"/>
    <w:rsid w:val="00EF2297"/>
    <w:rsid w:val="00F03E8E"/>
    <w:rsid w:val="00F073CE"/>
    <w:rsid w:val="00F17324"/>
    <w:rsid w:val="00F25393"/>
    <w:rsid w:val="00F2668E"/>
    <w:rsid w:val="00F4715F"/>
    <w:rsid w:val="00F71703"/>
    <w:rsid w:val="00F80DDC"/>
    <w:rsid w:val="00F929F7"/>
    <w:rsid w:val="00F96721"/>
    <w:rsid w:val="00FC39C2"/>
    <w:rsid w:val="00FC3E17"/>
    <w:rsid w:val="00FC554E"/>
    <w:rsid w:val="00FD1F96"/>
    <w:rsid w:val="00FE733D"/>
    <w:rsid w:val="00FF2872"/>
    <w:rsid w:val="00FF2F67"/>
    <w:rsid w:val="00FF5E90"/>
    <w:rsid w:val="00FF7FE6"/>
    <w:rsid w:val="01BD5254"/>
    <w:rsid w:val="0E5D2485"/>
    <w:rsid w:val="10FE5F97"/>
    <w:rsid w:val="1AF743F8"/>
    <w:rsid w:val="1C3821BE"/>
    <w:rsid w:val="1D96246B"/>
    <w:rsid w:val="25071D86"/>
    <w:rsid w:val="33C2632A"/>
    <w:rsid w:val="377305FD"/>
    <w:rsid w:val="4CA92113"/>
    <w:rsid w:val="59D700F9"/>
    <w:rsid w:val="5BB31F20"/>
    <w:rsid w:val="653D2DBB"/>
    <w:rsid w:val="70C2326C"/>
    <w:rsid w:val="721B0E2C"/>
    <w:rsid w:val="745B37DE"/>
    <w:rsid w:val="7BBA23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Document Map" w:unhideWhenUsed="0"/>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E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A379EF"/>
    <w:rPr>
      <w:rFonts w:ascii="宋体" w:cs="宋体"/>
      <w:sz w:val="18"/>
      <w:szCs w:val="18"/>
    </w:rPr>
  </w:style>
  <w:style w:type="paragraph" w:styleId="a4">
    <w:name w:val="Balloon Text"/>
    <w:basedOn w:val="a"/>
    <w:link w:val="Char0"/>
    <w:uiPriority w:val="99"/>
    <w:semiHidden/>
    <w:qFormat/>
    <w:rsid w:val="00A379EF"/>
    <w:rPr>
      <w:sz w:val="18"/>
      <w:szCs w:val="18"/>
    </w:rPr>
  </w:style>
  <w:style w:type="paragraph" w:styleId="a5">
    <w:name w:val="footer"/>
    <w:basedOn w:val="a"/>
    <w:link w:val="Char1"/>
    <w:uiPriority w:val="99"/>
    <w:semiHidden/>
    <w:rsid w:val="00A379EF"/>
    <w:pPr>
      <w:tabs>
        <w:tab w:val="center" w:pos="4153"/>
        <w:tab w:val="right" w:pos="8306"/>
      </w:tabs>
      <w:snapToGrid w:val="0"/>
      <w:jc w:val="left"/>
    </w:pPr>
    <w:rPr>
      <w:sz w:val="18"/>
      <w:szCs w:val="18"/>
    </w:rPr>
  </w:style>
  <w:style w:type="paragraph" w:styleId="a6">
    <w:name w:val="header"/>
    <w:basedOn w:val="a"/>
    <w:link w:val="Char2"/>
    <w:uiPriority w:val="99"/>
    <w:semiHidden/>
    <w:qFormat/>
    <w:rsid w:val="00A379E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379E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A379EF"/>
    <w:rPr>
      <w:b/>
      <w:bCs/>
    </w:rPr>
  </w:style>
  <w:style w:type="character" w:customStyle="1" w:styleId="apple-converted-space">
    <w:name w:val="apple-converted-space"/>
    <w:basedOn w:val="a0"/>
    <w:uiPriority w:val="99"/>
    <w:qFormat/>
    <w:rsid w:val="00A379EF"/>
  </w:style>
  <w:style w:type="character" w:customStyle="1" w:styleId="Char2">
    <w:name w:val="页眉 Char"/>
    <w:basedOn w:val="a0"/>
    <w:link w:val="a6"/>
    <w:uiPriority w:val="99"/>
    <w:semiHidden/>
    <w:qFormat/>
    <w:locked/>
    <w:rsid w:val="00A379EF"/>
    <w:rPr>
      <w:sz w:val="18"/>
      <w:szCs w:val="18"/>
    </w:rPr>
  </w:style>
  <w:style w:type="character" w:customStyle="1" w:styleId="Char1">
    <w:name w:val="页脚 Char"/>
    <w:basedOn w:val="a0"/>
    <w:link w:val="a5"/>
    <w:uiPriority w:val="99"/>
    <w:semiHidden/>
    <w:qFormat/>
    <w:locked/>
    <w:rsid w:val="00A379EF"/>
    <w:rPr>
      <w:sz w:val="18"/>
      <w:szCs w:val="18"/>
    </w:rPr>
  </w:style>
  <w:style w:type="character" w:customStyle="1" w:styleId="Char">
    <w:name w:val="文档结构图 Char"/>
    <w:basedOn w:val="a0"/>
    <w:link w:val="a3"/>
    <w:uiPriority w:val="99"/>
    <w:semiHidden/>
    <w:qFormat/>
    <w:locked/>
    <w:rsid w:val="00A379EF"/>
    <w:rPr>
      <w:rFonts w:ascii="宋体" w:eastAsia="宋体" w:cs="宋体"/>
      <w:sz w:val="18"/>
      <w:szCs w:val="18"/>
    </w:rPr>
  </w:style>
  <w:style w:type="character" w:customStyle="1" w:styleId="Char0">
    <w:name w:val="批注框文本 Char"/>
    <w:basedOn w:val="a0"/>
    <w:link w:val="a4"/>
    <w:uiPriority w:val="99"/>
    <w:semiHidden/>
    <w:rsid w:val="00A379EF"/>
    <w:rPr>
      <w:rFonts w:cs="Calibri"/>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1164</Words>
  <Characters>6637</Characters>
  <Application>Microsoft Office Word</Application>
  <DocSecurity>0</DocSecurity>
  <Lines>55</Lines>
  <Paragraphs>15</Paragraphs>
  <ScaleCrop>false</ScaleCrop>
  <Company>Microsoft</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王景</dc:creator>
  <cp:lastModifiedBy>王景</cp:lastModifiedBy>
  <cp:revision>3</cp:revision>
  <dcterms:created xsi:type="dcterms:W3CDTF">2018-12-27T09:20:00Z</dcterms:created>
  <dcterms:modified xsi:type="dcterms:W3CDTF">2018-12-27T09:21:00Z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