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附件6</w:t>
      </w:r>
    </w:p>
    <w:p>
      <w:pPr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资格及有效性审查表</w:t>
      </w:r>
    </w:p>
    <w:bookmarkEnd w:id="0"/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846"/>
        <w:gridCol w:w="1494"/>
        <w:gridCol w:w="1451"/>
        <w:gridCol w:w="1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800" w:firstLineChars="10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报价人要求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报价文件的完整性，完整的报价文件应包括比选公告中所要求的资料；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报价文件为有效签署；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报价等于或低于比选控制价；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报价文件没有附有采购人不能接受的条件的。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45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结论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注：1. 凡符合以上任何一项情形，在相应方框内打“○”，否则打“X”，只要出现一个“X”，结论均为“不通过”，否则为“通过”。</w:t>
      </w:r>
    </w:p>
    <w:p>
      <w:pPr>
        <w:spacing w:line="560" w:lineRule="exact"/>
        <w:ind w:firstLine="480" w:firstLineChars="200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</w:rPr>
        <w:t xml:space="preserve">    </w:t>
      </w:r>
      <w:r>
        <w:rPr>
          <w:rFonts w:ascii="Times New Roman" w:hAnsi="Times New Roman" w:eastAsia="仿宋"/>
          <w:kern w:val="0"/>
          <w:sz w:val="24"/>
          <w:szCs w:val="24"/>
        </w:rPr>
        <w:t>2.如对本表中某种情形的评审意见不一致时，以评审组过半数成员的意见作为评审组对该情形的认定结论。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0DF5"/>
    <w:rsid w:val="013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陈颂</dc:creator>
  <cp:lastModifiedBy>陈颂</cp:lastModifiedBy>
  <dcterms:modified xsi:type="dcterms:W3CDTF">2020-07-16T06:23:48Z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