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附件5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firstLine="198" w:firstLineChars="45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kern w:val="0"/>
          <w:sz w:val="44"/>
          <w:szCs w:val="44"/>
        </w:rPr>
        <w:t>业绩一览表</w:t>
      </w:r>
    </w:p>
    <w:bookmarkEnd w:id="0"/>
    <w:p>
      <w:pPr>
        <w:spacing w:line="560" w:lineRule="exact"/>
        <w:ind w:firstLine="198" w:firstLineChars="45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610"/>
        <w:gridCol w:w="1503"/>
        <w:gridCol w:w="1415"/>
        <w:gridCol w:w="2752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完成时间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中选金额（万元）</w:t>
            </w:r>
          </w:p>
        </w:tc>
        <w:tc>
          <w:tcPr>
            <w:tcW w:w="275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（联系人、联系电话）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275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ascii="Times New Roman" w:hAnsi="Times New Roman"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ascii="Times New Roman" w:hAnsi="Times New Roman"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21"/>
              </w:rPr>
              <w:t>3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21"/>
              </w:rPr>
              <w:t>4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firstLine="201" w:firstLineChars="63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注：后附相关合同（复印件）。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C417D"/>
    <w:rsid w:val="4BB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2020-07-16T06:23:00Z</dcterms:created>
  <dc:creator>陈颂</dc:creator>
  <cp:lastModifiedBy>陈颂</cp:lastModifiedBy>
  <dcterms:modified xsi:type="dcterms:W3CDTF">2020-07-16T06:23:33Z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