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99" w:rightChars="138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4</w:t>
      </w:r>
    </w:p>
    <w:p>
      <w:pPr>
        <w:ind w:right="299" w:rightChars="138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纳入定点后使用医疗保障基金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预测性分析报告</w:t>
      </w:r>
    </w:p>
    <w:bookmarkEnd w:id="0"/>
    <w:p>
      <w:pPr>
        <w:ind w:right="299" w:rightChars="138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right="299" w:rightChars="138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请根据医疗机构实际情况制定，分析报告应至少包含以下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四个部分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内容：</w:t>
      </w:r>
    </w:p>
    <w:p>
      <w:pPr>
        <w:numPr>
          <w:ilvl w:val="0"/>
          <w:numId w:val="1"/>
        </w:numPr>
        <w:ind w:right="299" w:rightChars="138" w:firstLine="654" w:firstLineChars="200"/>
        <w:jc w:val="left"/>
        <w:rPr>
          <w:rFonts w:hint="eastAsia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医疗机构基本情况；</w:t>
      </w:r>
    </w:p>
    <w:p>
      <w:pPr>
        <w:numPr>
          <w:ilvl w:val="0"/>
          <w:numId w:val="1"/>
        </w:numPr>
        <w:ind w:right="299" w:rightChars="138" w:firstLine="654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</w:rPr>
        <w:t>近3个月</w:t>
      </w: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运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</w:rPr>
        <w:t>营状况</w:t>
      </w: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：医疗服务总量、总费用及人次情况（含医疗美容、辅助生殖、生活照护、种植牙的服务量、费用及人次情况），门急诊及住院病人平均费用情况；</w:t>
      </w:r>
    </w:p>
    <w:p>
      <w:pPr>
        <w:numPr>
          <w:ilvl w:val="0"/>
          <w:numId w:val="1"/>
        </w:numPr>
        <w:ind w:right="299" w:rightChars="138" w:firstLine="654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</w:rPr>
        <w:t>预测分析纳入定点后医保基金医使用情况；</w:t>
      </w:r>
    </w:p>
    <w:p>
      <w:pPr>
        <w:numPr>
          <w:ilvl w:val="0"/>
          <w:numId w:val="1"/>
        </w:numPr>
        <w:ind w:right="299" w:rightChars="138" w:firstLine="654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</w:rPr>
        <w:t>医保基金安全风险防范预案及措施。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E5252F"/>
    <w:multiLevelType w:val="singleLevel"/>
    <w:tmpl w:val="AEE525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E01AE"/>
    <w:rsid w:val="04415E0C"/>
    <w:rsid w:val="16AE0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2021-12-10T08:20:00Z</dcterms:created>
  <dc:creator>李丕</dc:creator>
  <cp:lastModifiedBy>李丕</cp:lastModifiedBy>
  <dcterms:modified xsi:type="dcterms:W3CDTF">2021-12-10T08:20:59Z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