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99" w:rightChars="138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与医保政策对应的内部管理制度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请根据零售药店实际情况制定，内部管理制度应至少包含以下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五个方面及各要素内容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4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医保药品管理制度：（一）医保药品购进销售及储存管理规定；（二）医保药品目录及价格管理规定；（三）医保药品分类分区管理规定。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4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财务制度：（一）</w:t>
      </w:r>
      <w:r>
        <w:rPr>
          <w:rFonts w:hint="eastAsia" w:ascii="仿宋_GB2312" w:hAnsi="仿宋_GB2312" w:eastAsia="仿宋_GB2312" w:cs="仿宋_GB2312"/>
          <w:i w:val="0"/>
          <w:color w:val="000000"/>
          <w:kern w:val="2"/>
          <w:sz w:val="32"/>
          <w:szCs w:val="32"/>
          <w:u w:val="none"/>
          <w:lang w:val="en-US" w:eastAsia="zh-CN" w:bidi="ar-SA"/>
        </w:rPr>
        <w:t>医疗费用查询及票据管理规定；（二）医保基金收支核算及分析规定；（三）医保基金结算银行账户管理规定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4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医保人员管理制度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：（一）医保管理架构及人员管理规定；（二）医保人员工作职责及工作内容；（三）医保人员业务培训及管理规定；（四）医保人员选用退出及奖惩规定。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4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统计信息管理制度：（一）统计信息质量管理规定；（二）统计信息设备管理规定；（三）统计信息数据管理规定；（四）统计信息报送管理规定。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4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五、医保费用结算制度：（一）医保政策宣传及服务管理规定；（二）医保结算系统及设备管理规定；（三）医保投诉监督及退费管理规定；（四）医保结算数据及凭证管理规定。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F636C3"/>
    <w:multiLevelType w:val="singleLevel"/>
    <w:tmpl w:val="5FF636C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17069"/>
    <w:rsid w:val="04415E0C"/>
    <w:rsid w:val="396170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2021-12-10T08:47:00Z</dcterms:created>
  <dc:creator>李丕</dc:creator>
  <cp:lastModifiedBy>李丕</cp:lastModifiedBy>
  <dcterms:modified xsi:type="dcterms:W3CDTF">2021-12-10T08:48:07Z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