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sz w:val="32"/>
          <w:szCs w:val="32"/>
        </w:rPr>
      </w:pPr>
      <w:r>
        <w:rPr>
          <w:rFonts w:hint="eastAsia" w:ascii="方正小标宋简体" w:hAnsi="仿宋" w:eastAsia="方正小标宋简体"/>
          <w:sz w:val="32"/>
          <w:szCs w:val="32"/>
        </w:rPr>
        <w:t>广州市建筑废弃物处置（陆路运输）核准办事指南</w:t>
      </w:r>
    </w:p>
    <w:p>
      <w:pPr>
        <w:rPr>
          <w:rFonts w:ascii="仿宋" w:hAnsi="仿宋" w:eastAsia="仿宋"/>
          <w:sz w:val="32"/>
          <w:szCs w:val="32"/>
        </w:rPr>
      </w:pP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事项名称</w:t>
      </w:r>
    </w:p>
    <w:p>
      <w:pPr>
        <w:ind w:firstLine="640" w:firstLineChars="200"/>
        <w:rPr>
          <w:rFonts w:ascii="仿宋" w:hAnsi="仿宋" w:eastAsia="仿宋"/>
          <w:sz w:val="32"/>
          <w:szCs w:val="32"/>
        </w:rPr>
      </w:pPr>
      <w:r>
        <w:rPr>
          <w:rFonts w:hint="eastAsia" w:ascii="仿宋" w:hAnsi="仿宋" w:eastAsia="仿宋"/>
          <w:sz w:val="32"/>
          <w:szCs w:val="32"/>
        </w:rPr>
        <w:t>广州市建筑废弃物处置（陆路运输）核准，与“城市建筑垃圾准运核准（陆路运输）”同，</w:t>
      </w:r>
      <w:r>
        <w:rPr>
          <w:rFonts w:hint="eastAsia" w:ascii="仿宋" w:hAnsi="仿宋" w:eastAsia="仿宋"/>
          <w:color w:val="auto"/>
          <w:sz w:val="32"/>
          <w:szCs w:val="32"/>
        </w:rPr>
        <w:t>下称“陆运核准”</w:t>
      </w:r>
      <w:r>
        <w:rPr>
          <w:rFonts w:hint="eastAsia" w:ascii="仿宋" w:hAnsi="仿宋" w:eastAsia="仿宋"/>
          <w:sz w:val="32"/>
          <w:szCs w:val="32"/>
        </w:rPr>
        <w:t>。</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设立依据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1.《国务院对确需保留的行政审批项目设定行政许可的决定》（国务院第</w:t>
      </w:r>
      <w:r>
        <w:rPr>
          <w:rFonts w:ascii="仿宋" w:hAnsi="仿宋" w:eastAsia="仿宋"/>
          <w:sz w:val="32"/>
          <w:szCs w:val="32"/>
        </w:rPr>
        <w:t>412</w:t>
      </w:r>
      <w:r>
        <w:rPr>
          <w:rFonts w:hint="eastAsia" w:ascii="仿宋" w:hAnsi="仿宋" w:eastAsia="仿宋"/>
          <w:sz w:val="32"/>
          <w:szCs w:val="32"/>
        </w:rPr>
        <w:t>号令）（第</w:t>
      </w:r>
      <w:r>
        <w:rPr>
          <w:rFonts w:ascii="仿宋" w:hAnsi="仿宋" w:eastAsia="仿宋"/>
          <w:sz w:val="32"/>
          <w:szCs w:val="32"/>
        </w:rPr>
        <w:t>101</w:t>
      </w:r>
      <w:r>
        <w:rPr>
          <w:rFonts w:hint="eastAsia" w:ascii="仿宋" w:hAnsi="仿宋" w:eastAsia="仿宋"/>
          <w:sz w:val="32"/>
          <w:szCs w:val="32"/>
        </w:rPr>
        <w:t>项规定）。</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2.《广州市建筑废弃物管理条例》（第九条、第十一条规定）。</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实施依据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w:t>
      </w:r>
      <w:r>
        <w:rPr>
          <w:rFonts w:hint="eastAsia"/>
        </w:rPr>
        <w:t xml:space="preserve"> </w:t>
      </w:r>
      <w:r>
        <w:rPr>
          <w:rFonts w:hint="eastAsia" w:ascii="仿宋" w:hAnsi="仿宋" w:eastAsia="仿宋"/>
          <w:sz w:val="32"/>
          <w:szCs w:val="32"/>
        </w:rPr>
        <w:t>《广州市人民政府关于保留下放取消行政许可备案事项的决定》（广州市人民政府令第142号）。</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.《建筑废弃物运输  车辆标志与监控终端、车厢规格与密闭》（DB4401T 11-2018）。</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bookmarkStart w:id="0" w:name="_GoBack"/>
      <w:bookmarkEnd w:id="0"/>
      <w:r>
        <w:rPr>
          <w:rFonts w:hint="eastAsia" w:ascii="仿宋" w:hAnsi="仿宋" w:eastAsia="仿宋"/>
          <w:sz w:val="32"/>
          <w:szCs w:val="32"/>
        </w:rPr>
        <w:t>.</w:t>
      </w:r>
      <w:r>
        <w:rPr>
          <w:rFonts w:ascii="仿宋" w:hAnsi="仿宋" w:eastAsia="仿宋"/>
          <w:sz w:val="32"/>
          <w:szCs w:val="32"/>
        </w:rPr>
        <w:t>《建筑废弃物运输车辆标志与监控终端、车厢规格与密闭》（DBJ440100/T130-2012）</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审批权限</w:t>
      </w:r>
    </w:p>
    <w:p>
      <w:pPr>
        <w:spacing w:line="600" w:lineRule="exact"/>
        <w:ind w:firstLine="636"/>
        <w:rPr>
          <w:rFonts w:ascii="仿宋" w:hAnsi="仿宋" w:eastAsia="仿宋"/>
          <w:sz w:val="32"/>
          <w:szCs w:val="32"/>
        </w:rPr>
      </w:pPr>
      <w:r>
        <w:rPr>
          <w:rFonts w:hint="eastAsia" w:ascii="仿宋" w:hAnsi="仿宋" w:eastAsia="仿宋"/>
          <w:sz w:val="32"/>
          <w:szCs w:val="32"/>
        </w:rPr>
        <w:t>根据《广州市人民政府关于保留下放取消行政许可备案事项的决定》（广州市人民政府令第142号）的权限设置，由各区城市管理行政主管部门负责运输企业的建筑废弃物处置（陆路运输）核准及企业所属车辆的审验工作。</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办理对象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从事建筑废弃物陆路运输的运输单位。</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办理条件</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1.</w:t>
      </w:r>
      <w:r>
        <w:rPr>
          <w:rFonts w:hint="eastAsia" w:ascii="仿宋" w:hAnsi="仿宋" w:eastAsia="仿宋"/>
          <w:sz w:val="32"/>
          <w:szCs w:val="32"/>
        </w:rPr>
        <w:t>具备《道路运输经营许可证》</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2.</w:t>
      </w:r>
      <w:r>
        <w:rPr>
          <w:rFonts w:hint="eastAsia" w:ascii="仿宋" w:hAnsi="仿宋" w:eastAsia="仿宋"/>
          <w:sz w:val="32"/>
          <w:szCs w:val="32"/>
        </w:rPr>
        <w:t>所属建筑废弃物运输车辆具备《机动车辆行驶证》和《道路运输证》</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3.</w:t>
      </w:r>
      <w:r>
        <w:rPr>
          <w:rFonts w:hint="eastAsia" w:ascii="仿宋" w:hAnsi="仿宋" w:eastAsia="仿宋"/>
          <w:sz w:val="32"/>
          <w:szCs w:val="32"/>
        </w:rPr>
        <w:t>所属运输车辆符合本市建筑废弃物运输车辆技术规范（包括：车辆应当符合对应技术规范中“基本要求”“车辆标志”“车载监控终端”“车厢规格及车辆载质量”“车厢密闭”等规定，符合新技术规范车辆车载监控终端需接入城市管理行政主管部门监控平台并能有效使用）</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4.自有</w:t>
      </w:r>
      <w:r>
        <w:rPr>
          <w:rFonts w:hint="eastAsia" w:ascii="仿宋" w:hAnsi="仿宋" w:eastAsia="仿宋"/>
          <w:sz w:val="32"/>
          <w:szCs w:val="32"/>
        </w:rPr>
        <w:t>建筑废弃物运输车辆总核定载质量达到三百吨以上，或者全部使用四点五吨以下运输车辆的总核定载质量达到一百吨以上</w:t>
      </w:r>
      <w:r>
        <w:rPr>
          <w:rFonts w:hint="eastAsia" w:ascii="仿宋" w:hAnsi="仿宋" w:eastAsia="仿宋" w:cstheme="minorBidi"/>
          <w:kern w:val="2"/>
          <w:sz w:val="32"/>
          <w:szCs w:val="32"/>
        </w:rPr>
        <w:t>；</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heme="minorBidi"/>
          <w:kern w:val="2"/>
          <w:sz w:val="32"/>
          <w:szCs w:val="32"/>
        </w:rPr>
        <w:t>5.</w:t>
      </w:r>
      <w:r>
        <w:rPr>
          <w:rFonts w:hint="eastAsia" w:ascii="仿宋" w:hAnsi="仿宋" w:eastAsia="仿宋"/>
          <w:sz w:val="32"/>
          <w:szCs w:val="32"/>
        </w:rPr>
        <w:t>本市行政区域内具备与企业经营规模相适应的车辆停放场地</w:t>
      </w:r>
      <w:r>
        <w:rPr>
          <w:rFonts w:ascii="仿宋" w:hAnsi="仿宋" w:eastAsia="仿宋"/>
          <w:sz w:val="32"/>
          <w:szCs w:val="32"/>
        </w:rPr>
        <w:t>（停放场地面积≥50</w:t>
      </w:r>
      <w:r>
        <w:rPr>
          <w:rFonts w:hint="eastAsia" w:ascii="仿宋" w:hAnsi="仿宋" w:eastAsia="仿宋"/>
          <w:sz w:val="32"/>
          <w:szCs w:val="32"/>
        </w:rPr>
        <w:t>㎡</w:t>
      </w:r>
      <w:r>
        <w:rPr>
          <w:rFonts w:ascii="仿宋" w:hAnsi="仿宋" w:eastAsia="仿宋"/>
          <w:sz w:val="32"/>
          <w:szCs w:val="32"/>
        </w:rPr>
        <w:t>/辆）</w:t>
      </w:r>
      <w:r>
        <w:rPr>
          <w:rFonts w:hint="eastAsia" w:ascii="仿宋" w:hAnsi="仿宋" w:eastAsia="仿宋"/>
          <w:sz w:val="32"/>
          <w:szCs w:val="32"/>
        </w:rPr>
        <w:t>。</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收费标准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本许可项目不收费。</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办理时限</w:t>
      </w:r>
    </w:p>
    <w:p>
      <w:pPr>
        <w:ind w:firstLine="640" w:firstLineChars="200"/>
        <w:rPr>
          <w:rFonts w:ascii="仿宋" w:hAnsi="仿宋" w:eastAsia="仿宋"/>
          <w:sz w:val="32"/>
          <w:szCs w:val="32"/>
        </w:rPr>
      </w:pPr>
      <w:r>
        <w:rPr>
          <w:rFonts w:hint="eastAsia" w:ascii="仿宋" w:hAnsi="仿宋" w:eastAsia="仿宋"/>
          <w:sz w:val="32"/>
          <w:szCs w:val="32"/>
        </w:rPr>
        <w:t>1.法定办结时限：10工作日。（说明：10工作日作出行政许可决定，材料补正、实地核查与</w:t>
      </w:r>
      <w:r>
        <w:rPr>
          <w:rFonts w:ascii="仿宋" w:hAnsi="仿宋" w:eastAsia="仿宋"/>
          <w:sz w:val="32"/>
          <w:szCs w:val="32"/>
        </w:rPr>
        <w:t>核查不符合条件需要整改所需时间不计入在内</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2.承诺办结时限</w:t>
      </w:r>
      <w:r>
        <w:rPr>
          <w:rFonts w:hint="eastAsia" w:ascii="仿宋" w:hAnsi="仿宋" w:eastAsia="仿宋"/>
          <w:color w:val="auto"/>
          <w:sz w:val="32"/>
          <w:szCs w:val="32"/>
        </w:rPr>
        <w:t>：1</w:t>
      </w:r>
      <w:r>
        <w:rPr>
          <w:rFonts w:hint="eastAsia" w:ascii="仿宋" w:hAnsi="仿宋" w:eastAsia="仿宋"/>
          <w:sz w:val="32"/>
          <w:szCs w:val="32"/>
        </w:rPr>
        <w:t>工作日。</w:t>
      </w:r>
    </w:p>
    <w:p>
      <w:pPr>
        <w:ind w:firstLine="640" w:firstLineChars="200"/>
        <w:rPr>
          <w:rFonts w:ascii="黑体" w:hAnsi="黑体" w:eastAsia="黑体"/>
          <w:sz w:val="32"/>
          <w:szCs w:val="32"/>
        </w:rPr>
      </w:pPr>
      <w:r>
        <w:rPr>
          <w:rFonts w:hint="eastAsia" w:ascii="仿宋" w:hAnsi="仿宋" w:eastAsia="仿宋"/>
          <w:sz w:val="32"/>
          <w:szCs w:val="32"/>
        </w:rPr>
        <w:t>（说明：办结时限为作出行政许可决定时间，补齐补正</w:t>
      </w:r>
      <w:r>
        <w:rPr>
          <w:rFonts w:ascii="仿宋" w:hAnsi="仿宋" w:eastAsia="仿宋"/>
          <w:sz w:val="32"/>
          <w:szCs w:val="32"/>
        </w:rPr>
        <w:t>时间不计入。</w:t>
      </w:r>
      <w:r>
        <w:rPr>
          <w:rFonts w:hint="eastAsia" w:ascii="仿宋" w:hAnsi="仿宋" w:eastAsia="仿宋"/>
          <w:sz w:val="32"/>
          <w:szCs w:val="32"/>
        </w:rPr>
        <w:t>）</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办理进度查询</w:t>
      </w:r>
    </w:p>
    <w:p>
      <w:pPr>
        <w:ind w:firstLine="640" w:firstLineChars="200"/>
        <w:rPr>
          <w:rFonts w:ascii="仿宋" w:hAnsi="仿宋" w:eastAsia="仿宋"/>
          <w:sz w:val="32"/>
          <w:szCs w:val="32"/>
        </w:rPr>
      </w:pPr>
      <w:r>
        <w:rPr>
          <w:rFonts w:hint="eastAsia" w:ascii="仿宋" w:hAnsi="仿宋" w:eastAsia="仿宋"/>
          <w:sz w:val="32"/>
          <w:szCs w:val="32"/>
        </w:rPr>
        <w:t>申请人可直接网页搜索“广东政务服务网”，通过右侧“办件进度”点击查询。</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办理结果</w:t>
      </w:r>
    </w:p>
    <w:p>
      <w:pPr>
        <w:ind w:firstLine="640" w:firstLineChars="200"/>
        <w:rPr>
          <w:rFonts w:ascii="仿宋" w:hAnsi="仿宋" w:eastAsia="仿宋"/>
          <w:sz w:val="32"/>
          <w:szCs w:val="32"/>
        </w:rPr>
      </w:pPr>
      <w:r>
        <w:rPr>
          <w:rFonts w:hint="eastAsia" w:ascii="仿宋" w:hAnsi="仿宋" w:eastAsia="仿宋"/>
          <w:sz w:val="32"/>
          <w:szCs w:val="32"/>
        </w:rPr>
        <w:t>《广州市建筑废弃物处置证（运输）》</w:t>
      </w:r>
      <w:r>
        <w:rPr>
          <w:rFonts w:hint="eastAsia" w:ascii="仿宋" w:hAnsi="仿宋" w:eastAsia="仿宋"/>
          <w:color w:val="auto"/>
          <w:sz w:val="32"/>
          <w:szCs w:val="32"/>
        </w:rPr>
        <w:t>（电子证照）</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作出运输建筑废弃物许可决定的，应当对符合本市建筑废弃物运输车辆技术规范的车辆发放《广州市建筑废弃物运输车辆标识》。</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申请材料</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2409"/>
        <w:gridCol w:w="2694"/>
        <w:gridCol w:w="992"/>
        <w:gridCol w:w="850"/>
        <w:gridCol w:w="10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b/>
                <w:szCs w:val="21"/>
              </w:rPr>
            </w:pPr>
            <w:r>
              <w:rPr>
                <w:rFonts w:hint="eastAsia" w:ascii="仿宋" w:hAnsi="仿宋" w:eastAsia="仿宋"/>
                <w:b/>
                <w:szCs w:val="21"/>
              </w:rPr>
              <w:t>序号</w:t>
            </w:r>
          </w:p>
        </w:tc>
        <w:tc>
          <w:tcPr>
            <w:tcW w:w="2409" w:type="dxa"/>
            <w:vAlign w:val="center"/>
          </w:tcPr>
          <w:p>
            <w:pPr>
              <w:jc w:val="center"/>
              <w:rPr>
                <w:rFonts w:ascii="仿宋" w:hAnsi="仿宋" w:eastAsia="仿宋"/>
                <w:b/>
                <w:szCs w:val="21"/>
              </w:rPr>
            </w:pPr>
            <w:r>
              <w:rPr>
                <w:rFonts w:hint="eastAsia" w:ascii="仿宋" w:hAnsi="仿宋" w:eastAsia="仿宋"/>
                <w:b/>
                <w:szCs w:val="21"/>
              </w:rPr>
              <w:t>材料名称</w:t>
            </w:r>
          </w:p>
        </w:tc>
        <w:tc>
          <w:tcPr>
            <w:tcW w:w="2694" w:type="dxa"/>
            <w:vAlign w:val="center"/>
          </w:tcPr>
          <w:p>
            <w:pPr>
              <w:jc w:val="center"/>
              <w:rPr>
                <w:rFonts w:ascii="仿宋" w:hAnsi="仿宋" w:eastAsia="仿宋"/>
                <w:b/>
                <w:szCs w:val="21"/>
              </w:rPr>
            </w:pPr>
            <w:r>
              <w:rPr>
                <w:rFonts w:hint="eastAsia" w:ascii="仿宋" w:hAnsi="仿宋" w:eastAsia="仿宋"/>
                <w:b/>
                <w:szCs w:val="21"/>
              </w:rPr>
              <w:t>补充说明</w:t>
            </w:r>
          </w:p>
        </w:tc>
        <w:tc>
          <w:tcPr>
            <w:tcW w:w="992" w:type="dxa"/>
            <w:vAlign w:val="center"/>
          </w:tcPr>
          <w:p>
            <w:pPr>
              <w:jc w:val="center"/>
              <w:rPr>
                <w:rFonts w:ascii="仿宋" w:hAnsi="仿宋" w:eastAsia="仿宋"/>
                <w:b/>
                <w:szCs w:val="21"/>
              </w:rPr>
            </w:pPr>
            <w:r>
              <w:rPr>
                <w:rFonts w:hint="eastAsia" w:ascii="仿宋" w:hAnsi="仿宋" w:eastAsia="仿宋"/>
                <w:b/>
                <w:szCs w:val="21"/>
              </w:rPr>
              <w:t>适用情形</w:t>
            </w:r>
          </w:p>
        </w:tc>
        <w:tc>
          <w:tcPr>
            <w:tcW w:w="850" w:type="dxa"/>
            <w:vAlign w:val="center"/>
          </w:tcPr>
          <w:p>
            <w:pPr>
              <w:jc w:val="center"/>
              <w:rPr>
                <w:rFonts w:ascii="仿宋" w:hAnsi="仿宋" w:eastAsia="仿宋"/>
                <w:b/>
                <w:szCs w:val="21"/>
              </w:rPr>
            </w:pPr>
            <w:r>
              <w:rPr>
                <w:rFonts w:hint="eastAsia" w:ascii="仿宋" w:hAnsi="仿宋" w:eastAsia="仿宋"/>
                <w:b/>
                <w:szCs w:val="21"/>
              </w:rPr>
              <w:t>是否为可容缺材料</w:t>
            </w:r>
          </w:p>
        </w:tc>
        <w:tc>
          <w:tcPr>
            <w:tcW w:w="1043" w:type="dxa"/>
            <w:vAlign w:val="center"/>
          </w:tcPr>
          <w:p>
            <w:pPr>
              <w:jc w:val="center"/>
              <w:rPr>
                <w:rFonts w:ascii="仿宋" w:hAnsi="仿宋" w:eastAsia="仿宋"/>
                <w:b/>
                <w:szCs w:val="21"/>
              </w:rPr>
            </w:pPr>
            <w:r>
              <w:rPr>
                <w:rFonts w:hint="eastAsia" w:ascii="仿宋" w:hAnsi="仿宋" w:eastAsia="仿宋"/>
                <w:b/>
                <w:szCs w:val="21"/>
              </w:rPr>
              <w:t>是否为告知承诺必要材料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1</w:t>
            </w:r>
          </w:p>
        </w:tc>
        <w:tc>
          <w:tcPr>
            <w:tcW w:w="2409" w:type="dxa"/>
            <w:vAlign w:val="center"/>
          </w:tcPr>
          <w:p>
            <w:pPr>
              <w:jc w:val="center"/>
              <w:rPr>
                <w:rFonts w:ascii="仿宋" w:hAnsi="仿宋" w:eastAsia="仿宋"/>
                <w:szCs w:val="21"/>
              </w:rPr>
            </w:pPr>
            <w:r>
              <w:rPr>
                <w:rFonts w:hint="eastAsia" w:ascii="仿宋" w:hAnsi="仿宋" w:eastAsia="仿宋"/>
                <w:szCs w:val="21"/>
              </w:rPr>
              <w:t>《广州市建筑废弃物处置（陆路运输）核准申请表》</w:t>
            </w:r>
          </w:p>
        </w:tc>
        <w:tc>
          <w:tcPr>
            <w:tcW w:w="2694" w:type="dxa"/>
            <w:vAlign w:val="center"/>
          </w:tcPr>
          <w:p>
            <w:pPr>
              <w:rPr>
                <w:rFonts w:ascii="仿宋" w:hAnsi="仿宋" w:eastAsia="仿宋"/>
                <w:color w:val="auto"/>
                <w:szCs w:val="21"/>
              </w:rPr>
            </w:pPr>
            <w:r>
              <w:rPr>
                <w:rFonts w:hint="eastAsia" w:ascii="仿宋" w:hAnsi="仿宋" w:eastAsia="仿宋"/>
                <w:color w:val="auto"/>
                <w:szCs w:val="21"/>
              </w:rPr>
              <w:t>（1）信息填写完整并盖章；</w:t>
            </w:r>
          </w:p>
          <w:p>
            <w:pPr>
              <w:rPr>
                <w:rFonts w:ascii="仿宋" w:hAnsi="仿宋" w:eastAsia="仿宋"/>
                <w:color w:val="auto"/>
                <w:szCs w:val="21"/>
              </w:rPr>
            </w:pPr>
            <w:r>
              <w:rPr>
                <w:rFonts w:hint="eastAsia" w:ascii="仿宋" w:hAnsi="仿宋" w:eastAsia="仿宋"/>
                <w:color w:val="auto"/>
                <w:szCs w:val="21"/>
              </w:rPr>
              <w:t>（2）同时上传“可编辑Excel表格”与“盖章扫描件”。</w:t>
            </w:r>
          </w:p>
          <w:p>
            <w:pPr>
              <w:rPr>
                <w:rFonts w:ascii="仿宋" w:hAnsi="仿宋" w:eastAsia="仿宋"/>
                <w:szCs w:val="21"/>
              </w:rPr>
            </w:pPr>
            <w:r>
              <w:rPr>
                <w:rFonts w:hint="eastAsia" w:ascii="仿宋" w:hAnsi="仿宋" w:eastAsia="仿宋"/>
                <w:szCs w:val="21"/>
              </w:rPr>
              <w:t>（3）企业在申领《广州市建筑废弃物处置证（运输）》后，车辆应同时具备《广州市建筑废弃物运输车辆标识》，标识申领说明可在“广州市城市管理和综合执法局门户网站——专题专栏——建筑废弃物管理”《广州市建筑废弃物运输车辆标识领取说明》一文查看。</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2</w:t>
            </w:r>
          </w:p>
        </w:tc>
        <w:tc>
          <w:tcPr>
            <w:tcW w:w="2409" w:type="dxa"/>
            <w:vAlign w:val="center"/>
          </w:tcPr>
          <w:p>
            <w:pPr>
              <w:jc w:val="center"/>
              <w:rPr>
                <w:rFonts w:ascii="仿宋" w:hAnsi="仿宋" w:eastAsia="仿宋"/>
                <w:szCs w:val="21"/>
              </w:rPr>
            </w:pPr>
            <w:r>
              <w:rPr>
                <w:rFonts w:hint="eastAsia" w:ascii="仿宋" w:hAnsi="仿宋" w:eastAsia="仿宋"/>
                <w:szCs w:val="21"/>
              </w:rPr>
              <w:t>《中华人民共和国道路运输经营许可证</w:t>
            </w:r>
            <w:r>
              <w:rPr>
                <w:rFonts w:hint="eastAsia" w:ascii="仿宋" w:hAnsi="仿宋" w:eastAsia="仿宋"/>
                <w:color w:val="auto"/>
                <w:szCs w:val="21"/>
              </w:rPr>
              <w:t>承诺书》</w:t>
            </w:r>
          </w:p>
        </w:tc>
        <w:tc>
          <w:tcPr>
            <w:tcW w:w="2694" w:type="dxa"/>
            <w:vAlign w:val="center"/>
          </w:tcPr>
          <w:p>
            <w:pPr>
              <w:rPr>
                <w:rFonts w:ascii="仿宋" w:hAnsi="仿宋" w:eastAsia="仿宋"/>
                <w:color w:val="auto"/>
                <w:szCs w:val="21"/>
              </w:rPr>
            </w:pPr>
            <w:r>
              <w:rPr>
                <w:rFonts w:hint="eastAsia" w:ascii="仿宋" w:hAnsi="仿宋" w:eastAsia="仿宋"/>
                <w:color w:val="auto"/>
                <w:szCs w:val="21"/>
              </w:rPr>
              <w:t>《中华人民共和国道路运输经营许可证》关联电子证照。</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34" w:type="dxa"/>
            <w:vAlign w:val="center"/>
          </w:tcPr>
          <w:p>
            <w:pPr>
              <w:jc w:val="center"/>
              <w:rPr>
                <w:rFonts w:ascii="仿宋" w:hAnsi="仿宋" w:eastAsia="仿宋"/>
                <w:szCs w:val="21"/>
              </w:rPr>
            </w:pPr>
            <w:r>
              <w:rPr>
                <w:rFonts w:hint="eastAsia" w:ascii="仿宋" w:hAnsi="仿宋" w:eastAsia="仿宋"/>
                <w:szCs w:val="21"/>
              </w:rPr>
              <w:t>3</w:t>
            </w:r>
          </w:p>
        </w:tc>
        <w:tc>
          <w:tcPr>
            <w:tcW w:w="2409" w:type="dxa"/>
            <w:vAlign w:val="center"/>
          </w:tcPr>
          <w:p>
            <w:pPr>
              <w:jc w:val="center"/>
              <w:rPr>
                <w:rFonts w:ascii="仿宋" w:hAnsi="仿宋" w:eastAsia="仿宋"/>
                <w:szCs w:val="21"/>
              </w:rPr>
            </w:pPr>
            <w:r>
              <w:rPr>
                <w:rFonts w:hint="eastAsia" w:ascii="仿宋" w:hAnsi="仿宋" w:eastAsia="仿宋"/>
                <w:szCs w:val="21"/>
              </w:rPr>
              <w:t>机械、设备、车辆停放场所文件</w:t>
            </w:r>
          </w:p>
        </w:tc>
        <w:tc>
          <w:tcPr>
            <w:tcW w:w="2694" w:type="dxa"/>
            <w:vAlign w:val="center"/>
          </w:tcPr>
          <w:p>
            <w:pPr>
              <w:rPr>
                <w:rFonts w:ascii="仿宋" w:hAnsi="仿宋" w:eastAsia="仿宋"/>
                <w:szCs w:val="21"/>
              </w:rPr>
            </w:pPr>
            <w:r>
              <w:rPr>
                <w:rFonts w:hint="eastAsia" w:ascii="仿宋" w:hAnsi="仿宋" w:eastAsia="仿宋"/>
                <w:szCs w:val="21"/>
              </w:rPr>
              <w:t>复印件，注明“此件与原件相符”并加盖公章。</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否</w:t>
            </w:r>
          </w:p>
        </w:tc>
      </w:tr>
    </w:tbl>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办理流程</w:t>
      </w:r>
    </w:p>
    <w:p>
      <w:pPr>
        <w:ind w:left="636"/>
        <w:rPr>
          <w:rFonts w:ascii="楷体" w:hAnsi="楷体" w:eastAsia="楷体"/>
          <w:color w:val="auto"/>
          <w:sz w:val="32"/>
          <w:szCs w:val="32"/>
        </w:rPr>
      </w:pPr>
      <w:r>
        <w:rPr>
          <w:rFonts w:hint="eastAsia" w:ascii="楷体" w:hAnsi="楷体" w:eastAsia="楷体"/>
          <w:color w:val="auto"/>
          <w:sz w:val="32"/>
          <w:szCs w:val="32"/>
        </w:rPr>
        <w:t>（一）即办流程</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color w:val="auto"/>
          <w:sz w:val="32"/>
          <w:szCs w:val="32"/>
        </w:rPr>
      </w:pPr>
      <w:r>
        <w:rPr>
          <w:rFonts w:hint="eastAsia" w:ascii="仿宋" w:hAnsi="仿宋" w:eastAsia="仿宋"/>
          <w:sz w:val="32"/>
          <w:szCs w:val="32"/>
        </w:rPr>
        <w:t>行政相对人进行网上申请，按要求上传申请材料,</w:t>
      </w:r>
      <w:r>
        <w:rPr>
          <w:rFonts w:hint="eastAsia" w:ascii="仿宋" w:hAnsi="仿宋" w:eastAsia="仿宋"/>
          <w:color w:val="auto"/>
          <w:sz w:val="32"/>
          <w:szCs w:val="32"/>
        </w:rPr>
        <w:t xml:space="preserve"> 无需另外到窗口递交材料。</w:t>
      </w:r>
    </w:p>
    <w:p>
      <w:pPr>
        <w:ind w:firstLine="640" w:firstLineChars="200"/>
        <w:rPr>
          <w:rFonts w:ascii="仿宋" w:hAnsi="仿宋" w:eastAsia="仿宋"/>
          <w:color w:val="auto"/>
          <w:sz w:val="32"/>
          <w:szCs w:val="32"/>
        </w:rPr>
      </w:pPr>
      <w:r>
        <w:rPr>
          <w:rFonts w:hint="eastAsia" w:ascii="仿宋" w:hAnsi="仿宋" w:eastAsia="仿宋"/>
          <w:color w:val="auto"/>
          <w:sz w:val="32"/>
          <w:szCs w:val="32"/>
        </w:rPr>
        <w:t>2.窗口受理。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3.业务审核。</w:t>
      </w:r>
    </w:p>
    <w:p>
      <w:pPr>
        <w:ind w:firstLine="640" w:firstLineChars="200"/>
        <w:rPr>
          <w:rFonts w:ascii="仿宋" w:hAnsi="仿宋" w:eastAsia="仿宋"/>
          <w:sz w:val="32"/>
          <w:szCs w:val="32"/>
        </w:rPr>
      </w:pPr>
      <w:r>
        <w:rPr>
          <w:rFonts w:hint="eastAsia" w:ascii="仿宋" w:hAnsi="仿宋" w:eastAsia="仿宋"/>
          <w:sz w:val="32"/>
          <w:szCs w:val="32"/>
        </w:rPr>
        <w:t>对提交材料进行审查。</w:t>
      </w:r>
    </w:p>
    <w:p>
      <w:pPr>
        <w:ind w:firstLine="640" w:firstLineChars="200"/>
        <w:rPr>
          <w:rFonts w:ascii="仿宋" w:hAnsi="仿宋" w:eastAsia="仿宋"/>
          <w:sz w:val="32"/>
          <w:szCs w:val="32"/>
        </w:rPr>
      </w:pPr>
      <w:r>
        <w:rPr>
          <w:rFonts w:hint="eastAsia" w:ascii="仿宋" w:hAnsi="仿宋" w:eastAsia="仿宋"/>
          <w:sz w:val="32"/>
          <w:szCs w:val="32"/>
        </w:rPr>
        <w:t>4.许可决定。</w:t>
      </w:r>
    </w:p>
    <w:p>
      <w:pPr>
        <w:ind w:firstLine="640" w:firstLineChars="200"/>
        <w:rPr>
          <w:rFonts w:ascii="仿宋" w:hAnsi="仿宋" w:eastAsia="仿宋"/>
          <w:sz w:val="32"/>
          <w:szCs w:val="32"/>
        </w:rPr>
      </w:pPr>
      <w:r>
        <w:rPr>
          <w:rFonts w:hint="eastAsia" w:ascii="仿宋" w:hAnsi="仿宋" w:eastAsia="仿宋"/>
          <w:sz w:val="32"/>
          <w:szCs w:val="32"/>
        </w:rPr>
        <w:t>作出行政许可决定。</w:t>
      </w:r>
    </w:p>
    <w:p>
      <w:pPr>
        <w:ind w:firstLine="640" w:firstLineChars="200"/>
        <w:rPr>
          <w:rFonts w:ascii="仿宋" w:hAnsi="仿宋" w:eastAsia="仿宋"/>
          <w:color w:val="auto"/>
          <w:sz w:val="32"/>
          <w:szCs w:val="32"/>
        </w:rPr>
      </w:pPr>
      <w:r>
        <w:rPr>
          <w:rFonts w:hint="eastAsia" w:ascii="仿宋" w:hAnsi="仿宋" w:eastAsia="仿宋"/>
          <w:color w:val="auto"/>
          <w:sz w:val="32"/>
          <w:szCs w:val="32"/>
        </w:rPr>
        <w:t>5.电子证照签发。</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对准予行政许可的，签发《广州市建筑废弃物处置证（运输）》电子证照。</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firstLine="640" w:firstLineChars="200"/>
        <w:rPr>
          <w:rFonts w:ascii="仿宋" w:hAnsi="仿宋" w:eastAsia="仿宋"/>
          <w:color w:val="auto"/>
          <w:sz w:val="32"/>
          <w:szCs w:val="32"/>
        </w:rPr>
      </w:pPr>
      <w:r>
        <w:rPr>
          <w:rFonts w:hint="eastAsia" w:ascii="仿宋" w:hAnsi="仿宋" w:eastAsia="仿宋"/>
          <w:color w:val="auto"/>
          <w:sz w:val="32"/>
          <w:szCs w:val="32"/>
        </w:rPr>
        <w:t>7.标识发放。</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在签发《广州市建筑废弃物处置证（运输）》电子证照后10个工作日内，应当对符合本市建筑废弃物运输车辆技术规范的车辆发放《广州市建筑废弃物运输车辆标识》。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属地城市管理行政主管部门可自行实施检查或委托第三方检测机构，结合</w:t>
      </w:r>
      <w:r>
        <w:rPr>
          <w:rFonts w:hint="eastAsia" w:ascii="仿宋" w:hAnsi="仿宋" w:eastAsia="仿宋"/>
          <w:color w:val="auto"/>
          <w:sz w:val="32"/>
          <w:szCs w:val="32"/>
        </w:rPr>
        <w:t>《广州市建筑废弃物运输车辆检查登记表》，对企业所属车</w:t>
      </w:r>
      <w:r>
        <w:rPr>
          <w:rFonts w:hint="eastAsia" w:ascii="仿宋" w:hAnsi="仿宋" w:eastAsia="仿宋"/>
          <w:sz w:val="32"/>
          <w:szCs w:val="32"/>
        </w:rPr>
        <w:t>辆是否符合《建筑废弃物运输  车辆标志与监控终端、车厢规格与密闭》（DB4401T 11-2018）或</w:t>
      </w:r>
      <w:r>
        <w:rPr>
          <w:rFonts w:ascii="仿宋" w:hAnsi="仿宋" w:eastAsia="仿宋"/>
          <w:sz w:val="32"/>
          <w:szCs w:val="32"/>
        </w:rPr>
        <w:t>《建筑废弃物运输车辆标志与监控终端、车厢规格与密闭》（DBJ440100/T130-2012）</w:t>
      </w:r>
      <w:r>
        <w:rPr>
          <w:rFonts w:hint="eastAsia" w:ascii="仿宋" w:hAnsi="仿宋" w:eastAsia="仿宋"/>
          <w:sz w:val="32"/>
          <w:szCs w:val="32"/>
        </w:rPr>
        <w:t>的情况进行检查。具体内容包括：车辆应当符合对应技术规范中“基本要求”“车辆标志”“车载监控终端”“车厢规格及车辆载质量”“车厢密闭”等规定，符合新技术规范车辆车载监控终端需接入城市管理行政主管部门监控平台并能有效使用。</w:t>
      </w:r>
    </w:p>
    <w:p>
      <w:pPr>
        <w:ind w:left="636"/>
        <w:rPr>
          <w:rFonts w:ascii="楷体" w:hAnsi="楷体" w:eastAsia="楷体"/>
          <w:sz w:val="32"/>
          <w:szCs w:val="32"/>
        </w:rPr>
      </w:pPr>
      <w:r>
        <w:rPr>
          <w:rFonts w:hint="eastAsia" w:ascii="楷体" w:hAnsi="楷体" w:eastAsia="楷体"/>
          <w:sz w:val="32"/>
          <w:szCs w:val="32"/>
        </w:rPr>
        <w:t>（二）告知承诺流程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未在行政审批机关的诚信档案系统中留下关于陆运核准记录的申请人，或本部门确认并记录其不诚信信息已超过两年的申请人，适用告知承诺制范围。</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color w:val="auto"/>
          <w:sz w:val="32"/>
          <w:szCs w:val="32"/>
        </w:rPr>
      </w:pPr>
      <w:r>
        <w:rPr>
          <w:rFonts w:hint="eastAsia" w:ascii="仿宋" w:hAnsi="仿宋" w:eastAsia="仿宋"/>
          <w:sz w:val="32"/>
          <w:szCs w:val="32"/>
        </w:rPr>
        <w:t>行政相对人进行网上申请，按要求上传申请材料,</w:t>
      </w:r>
      <w:r>
        <w:rPr>
          <w:rFonts w:hint="eastAsia" w:ascii="仿宋" w:hAnsi="仿宋" w:eastAsia="仿宋"/>
          <w:color w:val="FF0000"/>
          <w:sz w:val="32"/>
          <w:szCs w:val="32"/>
        </w:rPr>
        <w:t xml:space="preserve"> </w:t>
      </w:r>
      <w:r>
        <w:rPr>
          <w:rFonts w:hint="eastAsia" w:ascii="仿宋" w:hAnsi="仿宋" w:eastAsia="仿宋"/>
          <w:color w:val="auto"/>
          <w:sz w:val="32"/>
          <w:szCs w:val="32"/>
        </w:rPr>
        <w:t>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color w:val="FF0000"/>
          <w:sz w:val="32"/>
          <w:szCs w:val="32"/>
        </w:rPr>
      </w:pPr>
      <w:r>
        <w:rPr>
          <w:rFonts w:hint="eastAsia" w:ascii="仿宋" w:hAnsi="仿宋" w:eastAsia="仿宋"/>
          <w:sz w:val="32"/>
          <w:szCs w:val="32"/>
        </w:rPr>
        <w:t>符合要求申请告知承诺受理的，提交《广州市建筑废弃物处置（排放）核准告知承诺申请书》，以及申请材料列表中的必要材料。</w:t>
      </w:r>
      <w:r>
        <w:rPr>
          <w:rFonts w:hint="eastAsia" w:ascii="仿宋" w:hAnsi="仿宋" w:eastAsia="仿宋"/>
          <w:color w:val="auto"/>
          <w:sz w:val="32"/>
          <w:szCs w:val="32"/>
        </w:rPr>
        <w:t>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3.政务中心首席代表审批。</w:t>
      </w:r>
    </w:p>
    <w:p>
      <w:pPr>
        <w:ind w:firstLine="640" w:firstLineChars="200"/>
        <w:rPr>
          <w:rFonts w:ascii="仿宋" w:hAnsi="仿宋" w:eastAsia="仿宋"/>
          <w:sz w:val="32"/>
          <w:szCs w:val="32"/>
        </w:rPr>
      </w:pPr>
      <w:r>
        <w:rPr>
          <w:rFonts w:hint="eastAsia" w:ascii="仿宋" w:hAnsi="仿宋" w:eastAsia="仿宋"/>
          <w:sz w:val="32"/>
          <w:szCs w:val="32"/>
        </w:rPr>
        <w:t>政务服务窗口办事人员按照审查标准进行</w:t>
      </w:r>
      <w:r>
        <w:rPr>
          <w:rFonts w:hint="eastAsia" w:ascii="仿宋" w:hAnsi="仿宋" w:eastAsia="仿宋"/>
          <w:color w:val="auto"/>
          <w:sz w:val="32"/>
          <w:szCs w:val="32"/>
        </w:rPr>
        <w:t>形式审</w:t>
      </w:r>
      <w:r>
        <w:rPr>
          <w:rFonts w:hint="eastAsia" w:ascii="仿宋" w:hAnsi="仿宋" w:eastAsia="仿宋"/>
          <w:sz w:val="32"/>
          <w:szCs w:val="32"/>
        </w:rPr>
        <w:t>查。对符合标准的，提出同意的审查意见；对不符合标准的，提出不同意的审查意见。将申请材料和审查意见转审批事项授权局派驻政务中心首席代表批准。</w:t>
      </w:r>
    </w:p>
    <w:p>
      <w:pPr>
        <w:ind w:firstLine="640" w:firstLineChars="200"/>
        <w:rPr>
          <w:rFonts w:ascii="仿宋" w:hAnsi="仿宋" w:eastAsia="仿宋"/>
          <w:sz w:val="32"/>
          <w:szCs w:val="32"/>
        </w:rPr>
      </w:pPr>
      <w:r>
        <w:rPr>
          <w:rFonts w:hint="eastAsia" w:ascii="仿宋" w:hAnsi="仿宋" w:eastAsia="仿宋"/>
          <w:sz w:val="32"/>
          <w:szCs w:val="32"/>
        </w:rPr>
        <w:t xml:space="preserve"> 4.许可决定。</w:t>
      </w:r>
    </w:p>
    <w:p>
      <w:pPr>
        <w:ind w:firstLine="640" w:firstLineChars="200"/>
        <w:rPr>
          <w:rFonts w:ascii="仿宋" w:hAnsi="仿宋" w:eastAsia="仿宋"/>
          <w:sz w:val="32"/>
          <w:szCs w:val="32"/>
        </w:rPr>
      </w:pPr>
      <w:r>
        <w:rPr>
          <w:rFonts w:hint="eastAsia" w:ascii="仿宋" w:hAnsi="仿宋" w:eastAsia="仿宋"/>
          <w:sz w:val="32"/>
          <w:szCs w:val="32"/>
        </w:rPr>
        <w:t>政务窗口首席代表作出行政许可决定。</w:t>
      </w:r>
    </w:p>
    <w:p>
      <w:pPr>
        <w:ind w:firstLine="640" w:firstLineChars="200"/>
        <w:rPr>
          <w:rFonts w:ascii="仿宋" w:hAnsi="仿宋" w:eastAsia="仿宋"/>
          <w:color w:val="auto"/>
          <w:sz w:val="32"/>
          <w:szCs w:val="32"/>
        </w:rPr>
      </w:pPr>
      <w:r>
        <w:rPr>
          <w:rFonts w:hint="eastAsia" w:ascii="仿宋" w:hAnsi="仿宋" w:eastAsia="仿宋"/>
          <w:color w:val="auto"/>
          <w:sz w:val="32"/>
          <w:szCs w:val="32"/>
        </w:rPr>
        <w:t>5.电子证照签发。</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对准予行政许可的，签发《广州市建筑废弃物处置证（运输）》电子证照。</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firstLine="640" w:firstLineChars="200"/>
        <w:rPr>
          <w:rFonts w:ascii="仿宋" w:hAnsi="仿宋" w:eastAsia="仿宋"/>
          <w:color w:val="auto"/>
          <w:sz w:val="32"/>
          <w:szCs w:val="32"/>
        </w:rPr>
      </w:pPr>
      <w:r>
        <w:rPr>
          <w:rFonts w:hint="eastAsia" w:ascii="仿宋" w:hAnsi="仿宋" w:eastAsia="仿宋"/>
          <w:color w:val="auto"/>
          <w:sz w:val="32"/>
          <w:szCs w:val="32"/>
        </w:rPr>
        <w:t>7.标识发放。</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在签发《广州市建筑废弃物处置证（排放）》电子证照后10个工作日内，应当对符合本市建筑废弃物运输车辆技术规范的车辆发放《广州市建筑废弃物运输车辆标识》。</w:t>
      </w:r>
    </w:p>
    <w:p>
      <w:pPr>
        <w:ind w:firstLine="800" w:firstLineChars="250"/>
        <w:rPr>
          <w:rFonts w:ascii="仿宋" w:hAnsi="仿宋" w:eastAsia="仿宋"/>
          <w:sz w:val="32"/>
          <w:szCs w:val="32"/>
        </w:rPr>
      </w:pPr>
      <w:r>
        <w:rPr>
          <w:rFonts w:hint="eastAsia" w:ascii="仿宋" w:hAnsi="仿宋" w:eastAsia="仿宋"/>
          <w:sz w:val="32"/>
          <w:szCs w:val="32"/>
        </w:rPr>
        <w:t>属地城市管理行政主管部门可自行实施检查或委托第三方检测机构，结合</w:t>
      </w:r>
      <w:r>
        <w:rPr>
          <w:rFonts w:hint="eastAsia" w:ascii="仿宋" w:hAnsi="仿宋" w:eastAsia="仿宋"/>
          <w:color w:val="auto"/>
          <w:sz w:val="32"/>
          <w:szCs w:val="32"/>
        </w:rPr>
        <w:t>《广州市建筑废弃物运输车辆检查登记表》，对企业所属车辆</w:t>
      </w:r>
      <w:r>
        <w:rPr>
          <w:rFonts w:hint="eastAsia" w:ascii="仿宋" w:hAnsi="仿宋" w:eastAsia="仿宋"/>
          <w:sz w:val="32"/>
          <w:szCs w:val="32"/>
        </w:rPr>
        <w:t>是否符合《建筑废弃物运输  车辆标志与监控终端、车厢规格与密闭》（DB4401T 11-2018）或</w:t>
      </w:r>
      <w:r>
        <w:rPr>
          <w:rFonts w:ascii="仿宋" w:hAnsi="仿宋" w:eastAsia="仿宋"/>
          <w:sz w:val="32"/>
          <w:szCs w:val="32"/>
        </w:rPr>
        <w:t>《建筑废弃物运输车辆标志与监控终端、车厢规格与密闭》（DBJ440100/T130-2012）</w:t>
      </w:r>
      <w:r>
        <w:rPr>
          <w:rFonts w:hint="eastAsia" w:ascii="仿宋" w:hAnsi="仿宋" w:eastAsia="仿宋"/>
          <w:sz w:val="32"/>
          <w:szCs w:val="32"/>
        </w:rPr>
        <w:t>的情况进行检查。具体内容包括：车辆应当符合对应技术规范中“基本要求”“车辆标志”“车载监控终端”“车厢规格及车辆载质量”“车厢密闭”等规定，符合新技术规范车辆车载监控终端需接入城市管理行政主管部门监控平台并能有效使用。</w:t>
      </w:r>
    </w:p>
    <w:p>
      <w:pPr>
        <w:ind w:firstLine="640" w:firstLineChars="200"/>
        <w:rPr>
          <w:rFonts w:ascii="仿宋" w:hAnsi="仿宋" w:eastAsia="仿宋"/>
          <w:sz w:val="32"/>
          <w:szCs w:val="32"/>
        </w:rPr>
      </w:pPr>
      <w:r>
        <w:rPr>
          <w:rFonts w:hint="eastAsia" w:ascii="仿宋" w:hAnsi="仿宋" w:eastAsia="仿宋"/>
          <w:sz w:val="32"/>
          <w:szCs w:val="32"/>
        </w:rPr>
        <w:t>8.许可后审查。</w:t>
      </w:r>
    </w:p>
    <w:p>
      <w:pPr>
        <w:spacing w:line="600" w:lineRule="exact"/>
        <w:ind w:firstLine="630"/>
        <w:rPr>
          <w:rFonts w:ascii="仿宋" w:hAnsi="仿宋" w:eastAsia="仿宋"/>
          <w:sz w:val="32"/>
          <w:szCs w:val="32"/>
        </w:rPr>
      </w:pPr>
      <w:r>
        <w:rPr>
          <w:rFonts w:hint="eastAsia" w:ascii="仿宋" w:hAnsi="仿宋" w:eastAsia="仿宋"/>
          <w:sz w:val="32"/>
          <w:szCs w:val="32"/>
        </w:rPr>
        <w:t>许可发放的行政机关，在做出准予行政审批决定后20个工作日内对申请人的承诺内容是否属实进行检查。</w:t>
      </w:r>
    </w:p>
    <w:p>
      <w:pPr>
        <w:spacing w:line="600" w:lineRule="exact"/>
        <w:ind w:firstLine="630"/>
        <w:rPr>
          <w:rFonts w:ascii="仿宋" w:hAnsi="仿宋" w:eastAsia="仿宋"/>
          <w:sz w:val="32"/>
          <w:szCs w:val="32"/>
        </w:rPr>
      </w:pPr>
      <w:r>
        <w:rPr>
          <w:rFonts w:hint="eastAsia" w:ascii="仿宋" w:hAnsi="仿宋" w:eastAsia="仿宋"/>
          <w:sz w:val="32"/>
          <w:szCs w:val="32"/>
        </w:rPr>
        <w:t>发现申请人实际情况与承诺内容不符的，行政审批机关将发出《限期整改通知书》，要求限期整改。整改后仍不符合条件的，依法发出《撤销行政许可决定书》，撤销行政审批决定，收回《广州市建筑废弃物处置证（运输）》原件，许可审查后依法撤销行政许可决定的，及时、准确地对许可公示予以修改；并记录其不诚信信息，自记录之日起两年内，不再适用告知承诺制办理该事项有关审批手续。</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流程图</w:t>
      </w:r>
    </w:p>
    <w:p>
      <w:pPr>
        <w:ind w:firstLine="640" w:firstLineChars="200"/>
        <w:rPr>
          <w:rFonts w:ascii="楷体" w:hAnsi="楷体" w:eastAsia="楷体"/>
          <w:sz w:val="32"/>
          <w:szCs w:val="32"/>
        </w:rPr>
      </w:pPr>
      <w:r>
        <w:rPr>
          <w:rFonts w:hint="eastAsia" w:ascii="楷体" w:hAnsi="楷体" w:eastAsia="楷体"/>
          <w:sz w:val="32"/>
          <w:szCs w:val="32"/>
        </w:rPr>
        <w:t>（一）即办流程图</w:t>
      </w:r>
    </w:p>
    <w:p>
      <w:pPr>
        <w:jc w:val="center"/>
        <w:rPr>
          <w:rFonts w:ascii="楷体" w:hAnsi="楷体" w:eastAsia="楷体"/>
          <w:sz w:val="32"/>
          <w:szCs w:val="32"/>
        </w:rPr>
      </w:pPr>
      <w:r>
        <w:rPr>
          <w:rFonts w:ascii="楷体" w:hAnsi="楷体" w:eastAsia="楷体"/>
          <w:sz w:val="32"/>
          <w:szCs w:val="32"/>
        </w:rPr>
        <w:drawing>
          <wp:inline distT="0" distB="0" distL="0" distR="0">
            <wp:extent cx="3901440" cy="5524500"/>
            <wp:effectExtent l="19050" t="0" r="3472" b="0"/>
            <wp:docPr id="1" name="图片 0" descr="即办件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0" descr="即办件流程图.png"/>
                    <pic:cNvPicPr>
                      <a:picLocks noChangeAspect="true"/>
                    </pic:cNvPicPr>
                  </pic:nvPicPr>
                  <pic:blipFill>
                    <a:blip r:embed="rId4" cstate="print"/>
                    <a:stretch>
                      <a:fillRect/>
                    </a:stretch>
                  </pic:blipFill>
                  <pic:spPr>
                    <a:xfrm>
                      <a:off x="0" y="0"/>
                      <a:ext cx="3901778" cy="5524979"/>
                    </a:xfrm>
                    <a:prstGeom prst="rect">
                      <a:avLst/>
                    </a:prstGeom>
                  </pic:spPr>
                </pic:pic>
              </a:graphicData>
            </a:graphic>
          </wp:inline>
        </w:drawing>
      </w:r>
    </w:p>
    <w:p>
      <w:pPr>
        <w:ind w:firstLine="636"/>
        <w:rPr>
          <w:rFonts w:hint="eastAsia" w:ascii="楷体" w:hAnsi="楷体" w:eastAsia="楷体"/>
          <w:sz w:val="32"/>
          <w:szCs w:val="32"/>
        </w:rPr>
      </w:pPr>
    </w:p>
    <w:p>
      <w:pPr>
        <w:ind w:firstLine="636"/>
        <w:rPr>
          <w:rFonts w:hint="eastAsia" w:ascii="楷体" w:hAnsi="楷体" w:eastAsia="楷体"/>
          <w:sz w:val="32"/>
          <w:szCs w:val="32"/>
        </w:rPr>
      </w:pPr>
    </w:p>
    <w:p>
      <w:pPr>
        <w:ind w:firstLine="636"/>
        <w:rPr>
          <w:rFonts w:hint="eastAsia" w:ascii="楷体" w:hAnsi="楷体" w:eastAsia="楷体"/>
          <w:sz w:val="32"/>
          <w:szCs w:val="32"/>
        </w:rPr>
      </w:pPr>
    </w:p>
    <w:p>
      <w:pPr>
        <w:ind w:firstLine="636"/>
        <w:rPr>
          <w:rFonts w:hint="eastAsia" w:ascii="楷体" w:hAnsi="楷体" w:eastAsia="楷体"/>
          <w:sz w:val="32"/>
          <w:szCs w:val="32"/>
        </w:rPr>
      </w:pPr>
    </w:p>
    <w:p>
      <w:pPr>
        <w:ind w:firstLine="636"/>
        <w:rPr>
          <w:rFonts w:hint="eastAsia" w:ascii="楷体" w:hAnsi="楷体" w:eastAsia="楷体"/>
          <w:sz w:val="32"/>
          <w:szCs w:val="32"/>
        </w:rPr>
      </w:pPr>
    </w:p>
    <w:p>
      <w:pPr>
        <w:ind w:firstLine="636"/>
        <w:rPr>
          <w:rFonts w:hint="eastAsia" w:ascii="楷体" w:hAnsi="楷体" w:eastAsia="楷体"/>
          <w:sz w:val="32"/>
          <w:szCs w:val="32"/>
        </w:rPr>
      </w:pPr>
    </w:p>
    <w:p>
      <w:pPr>
        <w:ind w:firstLine="636"/>
        <w:rPr>
          <w:rFonts w:ascii="楷体" w:hAnsi="楷体" w:eastAsia="楷体"/>
          <w:sz w:val="32"/>
          <w:szCs w:val="32"/>
        </w:rPr>
      </w:pPr>
      <w:r>
        <w:rPr>
          <w:rFonts w:hint="eastAsia" w:ascii="楷体" w:hAnsi="楷体" w:eastAsia="楷体"/>
          <w:sz w:val="32"/>
          <w:szCs w:val="32"/>
        </w:rPr>
        <w:t>（二）告知承诺流程图</w:t>
      </w:r>
    </w:p>
    <w:p>
      <w:pPr>
        <w:jc w:val="center"/>
        <w:rPr>
          <w:rFonts w:ascii="仿宋" w:hAnsi="仿宋" w:eastAsia="仿宋"/>
          <w:sz w:val="32"/>
          <w:szCs w:val="32"/>
        </w:rPr>
      </w:pPr>
      <w:r>
        <w:rPr>
          <w:rFonts w:ascii="仿宋" w:hAnsi="仿宋" w:eastAsia="仿宋"/>
          <w:sz w:val="32"/>
          <w:szCs w:val="32"/>
        </w:rPr>
        <w:drawing>
          <wp:inline distT="0" distB="0" distL="0" distR="0">
            <wp:extent cx="3916680" cy="5532120"/>
            <wp:effectExtent l="19050" t="0" r="7280" b="0"/>
            <wp:docPr id="2" name="图片 1" descr="告知承诺制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告知承诺制流程图.png"/>
                    <pic:cNvPicPr>
                      <a:picLocks noChangeAspect="true"/>
                    </pic:cNvPicPr>
                  </pic:nvPicPr>
                  <pic:blipFill>
                    <a:blip r:embed="rId5" cstate="print"/>
                    <a:stretch>
                      <a:fillRect/>
                    </a:stretch>
                  </pic:blipFill>
                  <pic:spPr>
                    <a:xfrm>
                      <a:off x="0" y="0"/>
                      <a:ext cx="3917020" cy="5532600"/>
                    </a:xfrm>
                    <a:prstGeom prst="rect">
                      <a:avLst/>
                    </a:prstGeom>
                  </pic:spPr>
                </pic:pic>
              </a:graphicData>
            </a:graphic>
          </wp:inline>
        </w:drawing>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相关表格文本</w:t>
      </w:r>
    </w:p>
    <w:p>
      <w:pPr>
        <w:ind w:firstLine="640" w:firstLineChars="200"/>
        <w:rPr>
          <w:rFonts w:ascii="仿宋" w:hAnsi="仿宋" w:eastAsia="仿宋"/>
          <w:sz w:val="32"/>
          <w:szCs w:val="32"/>
        </w:rPr>
      </w:pPr>
      <w:r>
        <w:rPr>
          <w:rFonts w:hint="eastAsia" w:ascii="仿宋" w:hAnsi="仿宋" w:eastAsia="仿宋"/>
          <w:sz w:val="32"/>
          <w:szCs w:val="32"/>
        </w:rPr>
        <w:t>1.《广州市建筑废弃物处置（陆路运输）核准申请表》</w:t>
      </w:r>
      <w:r>
        <w:rPr>
          <w:rFonts w:ascii="仿宋" w:hAnsi="仿宋" w:eastAsia="仿宋"/>
          <w:sz w:val="32"/>
          <w:szCs w:val="32"/>
        </w:rPr>
        <w:t xml:space="preserve"> </w:t>
      </w:r>
    </w:p>
    <w:p>
      <w:pPr>
        <w:ind w:firstLine="640" w:firstLineChars="200"/>
        <w:rPr>
          <w:rFonts w:ascii="仿宋" w:hAnsi="仿宋" w:eastAsia="仿宋"/>
          <w:color w:val="auto"/>
          <w:sz w:val="32"/>
          <w:szCs w:val="32"/>
        </w:rPr>
      </w:pPr>
      <w:r>
        <w:rPr>
          <w:rFonts w:hint="eastAsia" w:ascii="仿宋" w:hAnsi="仿宋" w:eastAsia="仿宋"/>
          <w:sz w:val="32"/>
          <w:szCs w:val="32"/>
        </w:rPr>
        <w:t>2.</w:t>
      </w:r>
      <w:r>
        <w:rPr>
          <w:rFonts w:hint="eastAsia" w:ascii="仿宋" w:hAnsi="仿宋" w:eastAsia="仿宋"/>
          <w:color w:val="auto"/>
          <w:sz w:val="32"/>
          <w:szCs w:val="32"/>
        </w:rPr>
        <w:t>《中华人民共和国道路运输经营许可证承诺书》</w:t>
      </w:r>
    </w:p>
    <w:p>
      <w:pPr>
        <w:ind w:firstLine="640" w:firstLineChars="200"/>
        <w:rPr>
          <w:rFonts w:ascii="仿宋" w:hAnsi="仿宋" w:eastAsia="仿宋"/>
          <w:color w:val="auto"/>
          <w:sz w:val="32"/>
          <w:szCs w:val="32"/>
        </w:rPr>
      </w:pPr>
      <w:r>
        <w:rPr>
          <w:rFonts w:hint="eastAsia" w:ascii="仿宋" w:hAnsi="仿宋" w:eastAsia="仿宋"/>
          <w:color w:val="auto"/>
          <w:sz w:val="32"/>
          <w:szCs w:val="32"/>
        </w:rPr>
        <w:t>3.《广州市建筑废弃物运输车辆标识领取说明》</w:t>
      </w:r>
    </w:p>
    <w:p>
      <w:pPr>
        <w:ind w:firstLine="640" w:firstLineChars="200"/>
        <w:rPr>
          <w:rFonts w:ascii="仿宋" w:hAnsi="仿宋" w:eastAsia="仿宋"/>
          <w:color w:val="auto"/>
          <w:sz w:val="32"/>
          <w:szCs w:val="32"/>
        </w:rPr>
      </w:pPr>
      <w:r>
        <w:rPr>
          <w:rFonts w:hint="eastAsia" w:ascii="仿宋" w:hAnsi="仿宋" w:eastAsia="仿宋"/>
          <w:color w:val="auto"/>
          <w:sz w:val="32"/>
          <w:szCs w:val="32"/>
        </w:rPr>
        <w:t>4.《广州市建筑废弃物处置（陆路运输）核准告知承诺申请书》</w:t>
      </w:r>
    </w:p>
    <w:p>
      <w:pPr>
        <w:ind w:firstLine="640" w:firstLineChars="200"/>
        <w:rPr>
          <w:rFonts w:ascii="仿宋" w:hAnsi="仿宋" w:eastAsia="仿宋"/>
          <w:color w:val="auto"/>
          <w:sz w:val="32"/>
          <w:szCs w:val="32"/>
        </w:rPr>
      </w:pPr>
      <w:r>
        <w:rPr>
          <w:rFonts w:hint="eastAsia" w:ascii="仿宋" w:hAnsi="仿宋" w:eastAsia="仿宋"/>
          <w:color w:val="auto"/>
          <w:sz w:val="32"/>
          <w:szCs w:val="32"/>
        </w:rPr>
        <w:t>5.《广州市建筑废弃物运输车辆检查登记表》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EA2222"/>
    <w:multiLevelType w:val="multilevel"/>
    <w:tmpl w:val="77EA2222"/>
    <w:lvl w:ilvl="0" w:tentative="0">
      <w:start w:val="1"/>
      <w:numFmt w:val="japaneseCounting"/>
      <w:lvlText w:val="%1、"/>
      <w:lvlJc w:val="left"/>
      <w:pPr>
        <w:ind w:left="1356" w:hanging="720"/>
      </w:pPr>
      <w:rPr>
        <w:rFonts w:hint="default"/>
        <w:lang w:val="en-US"/>
      </w:rPr>
    </w:lvl>
    <w:lvl w:ilvl="1" w:tentative="0">
      <w:start w:val="1"/>
      <w:numFmt w:val="lowerLetter"/>
      <w:lvlText w:val="%2)"/>
      <w:lvlJc w:val="left"/>
      <w:pPr>
        <w:ind w:left="1476" w:hanging="420"/>
      </w:pPr>
    </w:lvl>
    <w:lvl w:ilvl="2" w:tentative="0">
      <w:start w:val="1"/>
      <w:numFmt w:val="lowerRoman"/>
      <w:lvlText w:val="%3."/>
      <w:lvlJc w:val="right"/>
      <w:pPr>
        <w:ind w:left="1896" w:hanging="420"/>
      </w:pPr>
    </w:lvl>
    <w:lvl w:ilvl="3" w:tentative="0">
      <w:start w:val="1"/>
      <w:numFmt w:val="decimal"/>
      <w:lvlText w:val="%4."/>
      <w:lvlJc w:val="left"/>
      <w:pPr>
        <w:ind w:left="2316" w:hanging="420"/>
      </w:pPr>
    </w:lvl>
    <w:lvl w:ilvl="4" w:tentative="0">
      <w:start w:val="1"/>
      <w:numFmt w:val="lowerLetter"/>
      <w:lvlText w:val="%5)"/>
      <w:lvlJc w:val="left"/>
      <w:pPr>
        <w:ind w:left="2736" w:hanging="420"/>
      </w:pPr>
    </w:lvl>
    <w:lvl w:ilvl="5" w:tentative="0">
      <w:start w:val="1"/>
      <w:numFmt w:val="lowerRoman"/>
      <w:lvlText w:val="%6."/>
      <w:lvlJc w:val="right"/>
      <w:pPr>
        <w:ind w:left="3156" w:hanging="420"/>
      </w:pPr>
    </w:lvl>
    <w:lvl w:ilvl="6" w:tentative="0">
      <w:start w:val="1"/>
      <w:numFmt w:val="decimal"/>
      <w:lvlText w:val="%7."/>
      <w:lvlJc w:val="left"/>
      <w:pPr>
        <w:ind w:left="3576" w:hanging="420"/>
      </w:pPr>
    </w:lvl>
    <w:lvl w:ilvl="7" w:tentative="0">
      <w:start w:val="1"/>
      <w:numFmt w:val="lowerLetter"/>
      <w:lvlText w:val="%8)"/>
      <w:lvlJc w:val="left"/>
      <w:pPr>
        <w:ind w:left="3996" w:hanging="420"/>
      </w:pPr>
    </w:lvl>
    <w:lvl w:ilvl="8" w:tentative="0">
      <w:start w:val="1"/>
      <w:numFmt w:val="lowerRoman"/>
      <w:lvlText w:val="%9."/>
      <w:lvlJc w:val="righ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74344"/>
    <w:rsid w:val="000067E0"/>
    <w:rsid w:val="000155A1"/>
    <w:rsid w:val="000155D6"/>
    <w:rsid w:val="00017DDF"/>
    <w:rsid w:val="00041A7F"/>
    <w:rsid w:val="0004600B"/>
    <w:rsid w:val="00073691"/>
    <w:rsid w:val="000767B0"/>
    <w:rsid w:val="00092D29"/>
    <w:rsid w:val="000A0F02"/>
    <w:rsid w:val="000C6327"/>
    <w:rsid w:val="000E3A95"/>
    <w:rsid w:val="000E6533"/>
    <w:rsid w:val="000F64A1"/>
    <w:rsid w:val="001020BB"/>
    <w:rsid w:val="00114372"/>
    <w:rsid w:val="00124609"/>
    <w:rsid w:val="00156FC4"/>
    <w:rsid w:val="00157811"/>
    <w:rsid w:val="00157AD3"/>
    <w:rsid w:val="0017065D"/>
    <w:rsid w:val="00173B02"/>
    <w:rsid w:val="00177CF1"/>
    <w:rsid w:val="001F3BFB"/>
    <w:rsid w:val="0024027F"/>
    <w:rsid w:val="00267FBD"/>
    <w:rsid w:val="002A2AF6"/>
    <w:rsid w:val="002E607D"/>
    <w:rsid w:val="002F4C21"/>
    <w:rsid w:val="003127BC"/>
    <w:rsid w:val="003269C3"/>
    <w:rsid w:val="00351FC1"/>
    <w:rsid w:val="00392F55"/>
    <w:rsid w:val="003A402C"/>
    <w:rsid w:val="003E653C"/>
    <w:rsid w:val="00413879"/>
    <w:rsid w:val="00420C35"/>
    <w:rsid w:val="004279A3"/>
    <w:rsid w:val="004834D6"/>
    <w:rsid w:val="00484491"/>
    <w:rsid w:val="004853A7"/>
    <w:rsid w:val="00490D6C"/>
    <w:rsid w:val="00492FF8"/>
    <w:rsid w:val="004D136C"/>
    <w:rsid w:val="004D27E9"/>
    <w:rsid w:val="004D475F"/>
    <w:rsid w:val="004D6ED3"/>
    <w:rsid w:val="004F2F9E"/>
    <w:rsid w:val="004F3879"/>
    <w:rsid w:val="005034E7"/>
    <w:rsid w:val="005178AD"/>
    <w:rsid w:val="00531D27"/>
    <w:rsid w:val="005601EE"/>
    <w:rsid w:val="00563AD2"/>
    <w:rsid w:val="0058012F"/>
    <w:rsid w:val="00580692"/>
    <w:rsid w:val="00594823"/>
    <w:rsid w:val="005959D5"/>
    <w:rsid w:val="005C060A"/>
    <w:rsid w:val="005C2504"/>
    <w:rsid w:val="005D21B1"/>
    <w:rsid w:val="005D26E0"/>
    <w:rsid w:val="0063042C"/>
    <w:rsid w:val="00634D0D"/>
    <w:rsid w:val="0064081B"/>
    <w:rsid w:val="006445E0"/>
    <w:rsid w:val="006607E1"/>
    <w:rsid w:val="00674163"/>
    <w:rsid w:val="00690D93"/>
    <w:rsid w:val="006A21D5"/>
    <w:rsid w:val="006C0CE8"/>
    <w:rsid w:val="00725BCD"/>
    <w:rsid w:val="00740201"/>
    <w:rsid w:val="007474AC"/>
    <w:rsid w:val="00747E30"/>
    <w:rsid w:val="00755AF8"/>
    <w:rsid w:val="0075674F"/>
    <w:rsid w:val="00774B16"/>
    <w:rsid w:val="007853B3"/>
    <w:rsid w:val="00794C6B"/>
    <w:rsid w:val="007B0ADC"/>
    <w:rsid w:val="007D3408"/>
    <w:rsid w:val="007F2E53"/>
    <w:rsid w:val="0085548C"/>
    <w:rsid w:val="00875F37"/>
    <w:rsid w:val="00897C8E"/>
    <w:rsid w:val="008A5357"/>
    <w:rsid w:val="008C760A"/>
    <w:rsid w:val="008E5F74"/>
    <w:rsid w:val="008F5C9C"/>
    <w:rsid w:val="009100C9"/>
    <w:rsid w:val="009370EF"/>
    <w:rsid w:val="009657A9"/>
    <w:rsid w:val="00975F6D"/>
    <w:rsid w:val="00990C8C"/>
    <w:rsid w:val="009D2BEE"/>
    <w:rsid w:val="00A108F8"/>
    <w:rsid w:val="00A454A0"/>
    <w:rsid w:val="00A56D9B"/>
    <w:rsid w:val="00A62ED2"/>
    <w:rsid w:val="00A9453F"/>
    <w:rsid w:val="00AA4F9C"/>
    <w:rsid w:val="00AD4BC8"/>
    <w:rsid w:val="00B12EDE"/>
    <w:rsid w:val="00B3116F"/>
    <w:rsid w:val="00B36F70"/>
    <w:rsid w:val="00B7275C"/>
    <w:rsid w:val="00BC363B"/>
    <w:rsid w:val="00BE1542"/>
    <w:rsid w:val="00BF1DEA"/>
    <w:rsid w:val="00C03C53"/>
    <w:rsid w:val="00C114A2"/>
    <w:rsid w:val="00C12F92"/>
    <w:rsid w:val="00C14DDA"/>
    <w:rsid w:val="00C15862"/>
    <w:rsid w:val="00C5329C"/>
    <w:rsid w:val="00C66DAC"/>
    <w:rsid w:val="00C76E86"/>
    <w:rsid w:val="00C9068E"/>
    <w:rsid w:val="00CA385D"/>
    <w:rsid w:val="00CB6C76"/>
    <w:rsid w:val="00CD2800"/>
    <w:rsid w:val="00CE594F"/>
    <w:rsid w:val="00CE6696"/>
    <w:rsid w:val="00CF05C9"/>
    <w:rsid w:val="00D00B52"/>
    <w:rsid w:val="00D033A9"/>
    <w:rsid w:val="00D652A4"/>
    <w:rsid w:val="00D65515"/>
    <w:rsid w:val="00D74344"/>
    <w:rsid w:val="00D85AD8"/>
    <w:rsid w:val="00DB6D95"/>
    <w:rsid w:val="00DD49AC"/>
    <w:rsid w:val="00DE0424"/>
    <w:rsid w:val="00DF07F3"/>
    <w:rsid w:val="00DF3B35"/>
    <w:rsid w:val="00E12163"/>
    <w:rsid w:val="00E362B1"/>
    <w:rsid w:val="00E9058A"/>
    <w:rsid w:val="00ED29B5"/>
    <w:rsid w:val="00F27578"/>
    <w:rsid w:val="00F33D96"/>
    <w:rsid w:val="00F6395B"/>
    <w:rsid w:val="00F75671"/>
    <w:rsid w:val="00FB3A1C"/>
    <w:rsid w:val="00FB5BE8"/>
    <w:rsid w:val="00FB66A6"/>
    <w:rsid w:val="00FC4534"/>
    <w:rsid w:val="00FD1D3C"/>
    <w:rsid w:val="00FD56AD"/>
    <w:rsid w:val="00FF1BDA"/>
    <w:rsid w:val="55B13F06"/>
    <w:rsid w:val="5A116BA5"/>
    <w:rsid w:val="BFFF94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464</Words>
  <Characters>2647</Characters>
  <Lines>22</Lines>
  <Paragraphs>6</Paragraphs>
  <TotalTime>0</TotalTime>
  <ScaleCrop>false</ScaleCrop>
  <LinksUpToDate>false</LinksUpToDate>
  <CharactersWithSpaces>3105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2021-10-21T16:42:00Z</dcterms:created>
  <dc:creator>a</dc:creator>
  <cp:lastModifiedBy>传入的名字</cp:lastModifiedBy>
  <cp:lastPrinted>2021-04-30T11:12:00Z</cp:lastPrinted>
  <dcterms:modified xsi:type="dcterms:W3CDTF">2021-12-28T16:52:49Z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9D084CC8B2BD404696669C48608E5B20</vt:lpwstr>
  </property>
</Properties>
</file>