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9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包装饮用水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8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白酒、白酒(液态)、白酒(原酒)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铅（以Pb计）、哒螨灵、啶虫脒、氯氰菊酯和高效氯氰菊酯、唑螨酯、肟菌酯、噁唑菌酮、山梨酸及其钾盐（以山梨酸计）、糖精钠（以糖精计）、菌落总数、大肠菌群、霉菌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食用淀粉》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31637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铅（以Pb计）、铝的残留量（干样品，以Al计）、二氧化硫残留量、苯甲酸及其钠盐（以苯甲酸计）、山梨酸及其钾盐（以山梨酸计）、脱氢乙酸及其钠盐（以脱氢乙酸计）、米酵菌酸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《食品动物中禁止使用的药品及其他化合物清单》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农业农村部公告第250号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克伦特罗、莱克多巴胺、沙丁胺醇、氯霉素、恩诺沙星（以恩诺沙星与环丙沙星之和计）、磺胺类、甲氧苄啶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胭脂红、亚硝酸盐(以亚硝酸钠计)、苯甲酸及其钠盐(以苯甲酸计)、山梨酸及其钾盐(以山梨酸计)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其他熟肉制品（餐饮）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生干面制品（餐饮)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其他米面制品（餐饮)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 盐（以脱氢乙酸计）、铝的残留量（干样品，以Al计）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铅（以Pb计）、苯甲酸及其钠盐（以苯甲酸计）、山梨酸及其钾盐（以山梨酸计）、脱氢乙酸及其钠盐（以脱氢乙酸计）、二氧化硫残留量、菌落总数、大肠埃希氏菌、沙门氏菌、金黄色葡萄球菌、蜡样芽孢杆菌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淀粉制品（餐饮）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粉丝、粉条（餐饮）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 盐（以脱氢乙酸计）、二氧化硫残留量、铝的残留量（干样品，以Al计）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食用油、油脂及其制品（餐饮）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食用油、油脂及其制品（餐饮）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酸价、过氧化值、丙二醛、总砷（以As计）、铅（以Pb计）、苯并[a]芘、丁基羟基茴香醚（BHA）、 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716056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B535E5"/>
    <w:rsid w:val="2DC032F5"/>
    <w:rsid w:val="2DDF13F3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A05865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4901D8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8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2021-11-24T10:28:20Z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578BDD7F8E304A909AF456678E073200</vt:lpwstr>
  </property>
</Properties>
</file>