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atLeast"/>
        <w:ind w:right="970" w:rightChars="462"/>
        <w:rPr>
          <w:rFonts w:hint="eastAsia" w:ascii="Times New Roman"/>
        </w:rPr>
      </w:pPr>
      <w:bookmarkStart w:id="5" w:name="_GoBack"/>
      <w:bookmarkEnd w:id="5"/>
      <w:r>
        <w:rPr>
          <w:rFonts w:hint="eastAsia" w:ascii="Times New Roman"/>
        </w:rPr>
        <w:t>附件2</w:t>
      </w:r>
    </w:p>
    <w:p>
      <w:pPr>
        <w:snapToGrid w:val="0"/>
        <w:spacing w:line="580" w:lineRule="atLeast"/>
        <w:jc w:val="center"/>
        <w:rPr>
          <w:b/>
          <w:snapToGrid w:val="0"/>
          <w:spacing w:val="2"/>
          <w:kern w:val="0"/>
          <w:sz w:val="44"/>
        </w:rPr>
      </w:pPr>
      <w:r>
        <w:rPr>
          <w:rFonts w:hint="eastAsia"/>
          <w:b/>
          <w:snapToGrid w:val="0"/>
          <w:spacing w:val="2"/>
          <w:kern w:val="0"/>
          <w:sz w:val="44"/>
        </w:rPr>
        <w:t>广州开发区决定调整为行政许可的事项目录（共8项）</w:t>
      </w:r>
    </w:p>
    <w:p>
      <w:pPr>
        <w:rPr>
          <w:rFonts w:hint="eastAsia"/>
          <w:sz w:val="32"/>
        </w:rPr>
      </w:pPr>
    </w:p>
    <w:tbl>
      <w:tblPr>
        <w:tblStyle w:val="7"/>
        <w:tblW w:w="15001"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77"/>
        <w:gridCol w:w="1980"/>
        <w:gridCol w:w="6326"/>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blHeader/>
          <w:jc w:val="center"/>
        </w:trPr>
        <w:tc>
          <w:tcPr>
            <w:tcW w:w="659" w:type="dxa"/>
            <w:noWrap w:val="0"/>
            <w:vAlign w:val="center"/>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序号</w:t>
            </w:r>
          </w:p>
        </w:tc>
        <w:tc>
          <w:tcPr>
            <w:tcW w:w="1577" w:type="dxa"/>
            <w:noWrap w:val="0"/>
            <w:vAlign w:val="center"/>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审批部门</w:t>
            </w:r>
          </w:p>
        </w:tc>
        <w:tc>
          <w:tcPr>
            <w:tcW w:w="1980" w:type="dxa"/>
            <w:noWrap w:val="0"/>
            <w:vAlign w:val="center"/>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项目名称</w:t>
            </w:r>
          </w:p>
        </w:tc>
        <w:tc>
          <w:tcPr>
            <w:tcW w:w="6326" w:type="dxa"/>
            <w:noWrap w:val="0"/>
            <w:vAlign w:val="center"/>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设定依据</w:t>
            </w:r>
          </w:p>
        </w:tc>
        <w:tc>
          <w:tcPr>
            <w:tcW w:w="4459" w:type="dxa"/>
            <w:noWrap w:val="0"/>
            <w:vAlign w:val="center"/>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659"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1</w:t>
            </w:r>
          </w:p>
        </w:tc>
        <w:tc>
          <w:tcPr>
            <w:tcW w:w="157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区国土资源和规划局</w:t>
            </w:r>
          </w:p>
        </w:tc>
        <w:tc>
          <w:tcPr>
            <w:tcW w:w="19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划拨国有土地使用权审批</w:t>
            </w:r>
          </w:p>
        </w:tc>
        <w:tc>
          <w:tcPr>
            <w:tcW w:w="6326" w:type="dxa"/>
            <w:noWrap w:val="0"/>
            <w:vAlign w:val="center"/>
          </w:tcPr>
          <w:p>
            <w:pPr>
              <w:widowControl/>
              <w:numPr>
                <w:ilvl w:val="0"/>
                <w:numId w:val="1"/>
              </w:numPr>
              <w:spacing w:line="360" w:lineRule="exact"/>
              <w:jc w:val="left"/>
              <w:textAlignment w:val="center"/>
              <w:rPr>
                <w:rFonts w:eastAsia="仿宋_GB2312"/>
                <w:color w:val="000000"/>
                <w:kern w:val="0"/>
                <w:szCs w:val="21"/>
              </w:rPr>
            </w:pPr>
            <w:r>
              <w:rPr>
                <w:rFonts w:hint="eastAsia" w:eastAsia="仿宋_GB2312"/>
                <w:color w:val="000000"/>
                <w:kern w:val="0"/>
                <w:szCs w:val="21"/>
              </w:rPr>
              <w:t>《中华人民共和国土地管理法》（2004年修订）第五十四条。                                       2.《转发市国土房管局关于调整我市国有建设用地使用权出让金计收标准的通知》（穗府办〔2010〕35号）。</w:t>
            </w:r>
          </w:p>
        </w:tc>
        <w:tc>
          <w:tcPr>
            <w:tcW w:w="4459" w:type="dxa"/>
            <w:noWrap w:val="0"/>
            <w:vAlign w:val="center"/>
          </w:tcPr>
          <w:p>
            <w:pPr>
              <w:widowControl/>
              <w:spacing w:line="360" w:lineRule="exact"/>
              <w:jc w:val="left"/>
              <w:textAlignment w:val="center"/>
              <w:rPr>
                <w:rFonts w:eastAsia="仿宋_GB2312"/>
                <w:color w:val="000000"/>
                <w:kern w:val="0"/>
                <w:szCs w:val="21"/>
              </w:rPr>
            </w:pPr>
            <w:bookmarkStart w:id="0" w:name="OLE_LINK2"/>
            <w:r>
              <w:rPr>
                <w:rFonts w:hint="eastAsia" w:eastAsia="仿宋_GB2312"/>
                <w:color w:val="000000"/>
                <w:kern w:val="0"/>
                <w:szCs w:val="21"/>
              </w:rPr>
              <w:t>根据《广东省行政审批事项通用目录》（2016年版）进行</w:t>
            </w:r>
            <w:r>
              <w:rPr>
                <w:rFonts w:hint="eastAsia" w:ascii="仿宋_GB2312" w:eastAsia="仿宋_GB2312"/>
                <w:color w:val="000000"/>
                <w:kern w:val="0"/>
                <w:szCs w:val="21"/>
              </w:rPr>
              <w:t>调整，调整后作为行政许可事项“国有建设用地使用权划拨审核”（编码</w:t>
            </w:r>
            <w:bookmarkEnd w:id="0"/>
            <w:r>
              <w:rPr>
                <w:rFonts w:hint="eastAsia" w:eastAsia="仿宋_GB2312"/>
                <w:color w:val="000000"/>
                <w:kern w:val="0"/>
                <w:szCs w:val="21"/>
              </w:rPr>
              <w:t>kfxk110008）予以实施。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6" w:hRule="atLeast"/>
          <w:jc w:val="center"/>
        </w:trPr>
        <w:tc>
          <w:tcPr>
            <w:tcW w:w="659"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2</w:t>
            </w:r>
          </w:p>
        </w:tc>
        <w:tc>
          <w:tcPr>
            <w:tcW w:w="157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区国土资源和规划局</w:t>
            </w:r>
          </w:p>
        </w:tc>
        <w:tc>
          <w:tcPr>
            <w:tcW w:w="19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临时用地审批</w:t>
            </w:r>
          </w:p>
        </w:tc>
        <w:tc>
          <w:tcPr>
            <w:tcW w:w="6326" w:type="dxa"/>
            <w:noWrap w:val="0"/>
            <w:vAlign w:val="center"/>
          </w:tcPr>
          <w:p>
            <w:pPr>
              <w:widowControl/>
              <w:spacing w:line="360" w:lineRule="exact"/>
              <w:jc w:val="left"/>
              <w:textAlignment w:val="center"/>
              <w:rPr>
                <w:rFonts w:hint="eastAsia" w:eastAsia="仿宋_GB2312"/>
                <w:color w:val="000000"/>
                <w:kern w:val="0"/>
                <w:szCs w:val="21"/>
              </w:rPr>
            </w:pPr>
            <w:r>
              <w:rPr>
                <w:rFonts w:hint="eastAsia" w:eastAsia="仿宋_GB2312"/>
                <w:color w:val="000000"/>
                <w:kern w:val="0"/>
                <w:szCs w:val="21"/>
              </w:rPr>
              <w:t>1.《中华人民共和国土地管理法》（2004年修订）第五十七条。                              2.《中华人民共和国土地管理法实施条例》（2014年修订）第二十七条、第二十八条。</w:t>
            </w:r>
          </w:p>
          <w:p>
            <w:pPr>
              <w:widowControl/>
              <w:spacing w:line="360" w:lineRule="exact"/>
              <w:jc w:val="left"/>
              <w:textAlignment w:val="center"/>
              <w:rPr>
                <w:rFonts w:hint="eastAsia" w:eastAsia="仿宋_GB2312"/>
                <w:color w:val="000000"/>
                <w:kern w:val="0"/>
                <w:szCs w:val="21"/>
              </w:rPr>
            </w:pPr>
            <w:r>
              <w:rPr>
                <w:rFonts w:hint="eastAsia" w:eastAsia="仿宋_GB2312"/>
                <w:color w:val="000000"/>
                <w:kern w:val="0"/>
                <w:szCs w:val="21"/>
              </w:rPr>
              <w:t>3.《土地复垦条例》（2011年国务院令第592号）第十条、第十二条。</w:t>
            </w:r>
          </w:p>
          <w:p>
            <w:pPr>
              <w:widowControl/>
              <w:spacing w:line="360" w:lineRule="exact"/>
              <w:jc w:val="left"/>
              <w:textAlignment w:val="center"/>
              <w:rPr>
                <w:rFonts w:hint="eastAsia" w:eastAsia="仿宋_GB2312"/>
                <w:color w:val="000000"/>
                <w:kern w:val="0"/>
                <w:szCs w:val="21"/>
              </w:rPr>
            </w:pPr>
            <w:r>
              <w:rPr>
                <w:rFonts w:hint="eastAsia" w:eastAsia="仿宋_GB2312"/>
                <w:color w:val="000000"/>
                <w:kern w:val="0"/>
                <w:szCs w:val="21"/>
              </w:rPr>
              <w:t>4.《土地复垦条例实施办法》（2012年国土资源部令第56号）。</w:t>
            </w:r>
          </w:p>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5.《广州市人民政府办公厅关于土地节约集约利用的实施意见》（穗府办〔</w:t>
            </w:r>
            <w:r>
              <w:rPr>
                <w:rFonts w:eastAsia="仿宋_GB2312"/>
                <w:color w:val="000000"/>
                <w:kern w:val="0"/>
                <w:szCs w:val="21"/>
              </w:rPr>
              <w:t>201</w:t>
            </w:r>
            <w:r>
              <w:rPr>
                <w:rFonts w:hint="eastAsia" w:eastAsia="仿宋_GB2312"/>
                <w:color w:val="000000"/>
                <w:kern w:val="0"/>
                <w:szCs w:val="21"/>
              </w:rPr>
              <w:t>4〕12号）。</w:t>
            </w:r>
          </w:p>
        </w:tc>
        <w:tc>
          <w:tcPr>
            <w:tcW w:w="4459"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根据《广东省行政审批事项通用目录》（2016年版）、《广州市人民政府关于公布保留取消调整行政审批备案事项的决定》（广州市人民政府令第38号）等文件进行调整，调整后作为行政许可事项“临时用地审批”（编码kfxk110008）予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59"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3</w:t>
            </w:r>
          </w:p>
        </w:tc>
        <w:tc>
          <w:tcPr>
            <w:tcW w:w="157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区国土资源和规划局</w:t>
            </w:r>
          </w:p>
        </w:tc>
        <w:tc>
          <w:tcPr>
            <w:tcW w:w="19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土地复垦方案审批</w:t>
            </w:r>
          </w:p>
        </w:tc>
        <w:tc>
          <w:tcPr>
            <w:tcW w:w="6326" w:type="dxa"/>
            <w:noWrap w:val="0"/>
            <w:vAlign w:val="center"/>
          </w:tcPr>
          <w:p>
            <w:pPr>
              <w:widowControl/>
              <w:numPr>
                <w:ilvl w:val="0"/>
                <w:numId w:val="2"/>
              </w:numPr>
              <w:spacing w:line="360" w:lineRule="exact"/>
              <w:jc w:val="left"/>
              <w:textAlignment w:val="center"/>
              <w:rPr>
                <w:rFonts w:eastAsia="仿宋_GB2312"/>
                <w:color w:val="000000"/>
                <w:kern w:val="0"/>
                <w:szCs w:val="21"/>
              </w:rPr>
            </w:pPr>
            <w:r>
              <w:rPr>
                <w:rFonts w:hint="eastAsia" w:eastAsia="仿宋_GB2312"/>
                <w:color w:val="000000"/>
                <w:kern w:val="0"/>
                <w:szCs w:val="21"/>
              </w:rPr>
              <w:t>《中华人民共和国土地管理法》（2004年修订）第四十二条。                               2.《土地复垦条例》（2011年国务院令第592号）第十三条。</w:t>
            </w:r>
          </w:p>
        </w:tc>
        <w:tc>
          <w:tcPr>
            <w:tcW w:w="4459" w:type="dxa"/>
            <w:noWrap w:val="0"/>
            <w:vAlign w:val="center"/>
          </w:tcPr>
          <w:p>
            <w:pPr>
              <w:widowControl/>
              <w:spacing w:line="360" w:lineRule="exact"/>
              <w:jc w:val="left"/>
              <w:textAlignment w:val="center"/>
              <w:rPr>
                <w:rFonts w:eastAsia="仿宋_GB2312"/>
                <w:color w:val="000000"/>
                <w:kern w:val="0"/>
                <w:szCs w:val="21"/>
              </w:rPr>
            </w:pPr>
            <w:bookmarkStart w:id="1" w:name="OLE_LINK4"/>
            <w:r>
              <w:rPr>
                <w:rFonts w:hint="eastAsia" w:eastAsia="仿宋_GB2312"/>
                <w:color w:val="000000"/>
                <w:kern w:val="0"/>
                <w:szCs w:val="21"/>
              </w:rPr>
              <w:t>根据《广东省行政审批事项通用目录》（2016年版）进行调整，调整后作为行政许可事项“土地复垦方案审批”（编码kfxk110006）予以实施。</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659"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4</w:t>
            </w:r>
          </w:p>
        </w:tc>
        <w:tc>
          <w:tcPr>
            <w:tcW w:w="157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区国土资源和规划局</w:t>
            </w:r>
          </w:p>
        </w:tc>
        <w:tc>
          <w:tcPr>
            <w:tcW w:w="19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土地整理复垦开发项目竣工验收</w:t>
            </w:r>
          </w:p>
        </w:tc>
        <w:tc>
          <w:tcPr>
            <w:tcW w:w="6326" w:type="dxa"/>
            <w:noWrap w:val="0"/>
            <w:vAlign w:val="center"/>
          </w:tcPr>
          <w:p>
            <w:pPr>
              <w:widowControl/>
              <w:numPr>
                <w:ilvl w:val="0"/>
                <w:numId w:val="3"/>
              </w:numPr>
              <w:spacing w:line="360" w:lineRule="exact"/>
              <w:jc w:val="left"/>
              <w:textAlignment w:val="center"/>
              <w:rPr>
                <w:rFonts w:eastAsia="仿宋_GB2312"/>
                <w:color w:val="000000"/>
                <w:kern w:val="0"/>
                <w:szCs w:val="21"/>
              </w:rPr>
            </w:pPr>
            <w:r>
              <w:rPr>
                <w:rFonts w:hint="eastAsia" w:eastAsia="仿宋_GB2312"/>
                <w:color w:val="000000"/>
                <w:kern w:val="0"/>
                <w:szCs w:val="21"/>
              </w:rPr>
              <w:t>《中华人民共和国土地管理法》（2004年修订）第四十二条。                              2.《土地复垦条例》（2011年国务院令第592号发布）第二十八条。</w:t>
            </w:r>
          </w:p>
        </w:tc>
        <w:tc>
          <w:tcPr>
            <w:tcW w:w="4459" w:type="dxa"/>
            <w:noWrap w:val="0"/>
            <w:vAlign w:val="center"/>
          </w:tcPr>
          <w:p>
            <w:pPr>
              <w:widowControl/>
              <w:spacing w:line="360" w:lineRule="exact"/>
              <w:jc w:val="left"/>
              <w:textAlignment w:val="center"/>
              <w:rPr>
                <w:rFonts w:eastAsia="仿宋_GB2312"/>
                <w:color w:val="000000"/>
                <w:kern w:val="0"/>
                <w:szCs w:val="21"/>
              </w:rPr>
            </w:pPr>
            <w:bookmarkStart w:id="2" w:name="OLE_LINK6"/>
            <w:r>
              <w:rPr>
                <w:rFonts w:hint="eastAsia" w:eastAsia="仿宋_GB2312"/>
                <w:color w:val="000000"/>
                <w:kern w:val="0"/>
                <w:szCs w:val="21"/>
              </w:rPr>
              <w:t>根据《广东省行政审批事项通用目录》（2016年版）进行调整，调整后作为行政许可事项“土地整理复垦开发项目竣工验收”（编码kfxk110007）予以实施。</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59"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5</w:t>
            </w:r>
          </w:p>
        </w:tc>
        <w:tc>
          <w:tcPr>
            <w:tcW w:w="157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区建设和环境保护局</w:t>
            </w:r>
          </w:p>
        </w:tc>
        <w:tc>
          <w:tcPr>
            <w:tcW w:w="19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区管权限交通建设项目（公路工程）初步设计审批</w:t>
            </w:r>
          </w:p>
        </w:tc>
        <w:tc>
          <w:tcPr>
            <w:tcW w:w="6326" w:type="dxa"/>
            <w:noWrap w:val="0"/>
            <w:vAlign w:val="center"/>
          </w:tcPr>
          <w:p>
            <w:pPr>
              <w:widowControl/>
              <w:numPr>
                <w:ilvl w:val="0"/>
                <w:numId w:val="4"/>
              </w:numPr>
              <w:spacing w:line="360" w:lineRule="exact"/>
              <w:jc w:val="left"/>
              <w:textAlignment w:val="center"/>
              <w:rPr>
                <w:rFonts w:hint="eastAsia" w:eastAsia="仿宋_GB2312"/>
                <w:color w:val="000000"/>
                <w:kern w:val="0"/>
                <w:szCs w:val="21"/>
              </w:rPr>
            </w:pPr>
            <w:r>
              <w:rPr>
                <w:rFonts w:hint="eastAsia" w:eastAsia="仿宋_GB2312"/>
                <w:color w:val="000000"/>
                <w:kern w:val="0"/>
                <w:szCs w:val="21"/>
              </w:rPr>
              <w:t>《建设工程勘察设计管理条例》（2000年国务院令第293号）第二十六条、第二十八、第三十三条。</w:t>
            </w:r>
          </w:p>
          <w:p>
            <w:pPr>
              <w:widowControl/>
              <w:numPr>
                <w:ilvl w:val="0"/>
                <w:numId w:val="4"/>
              </w:numPr>
              <w:spacing w:line="360" w:lineRule="exact"/>
              <w:jc w:val="left"/>
              <w:textAlignment w:val="center"/>
              <w:rPr>
                <w:rFonts w:eastAsia="仿宋_GB2312"/>
                <w:color w:val="000000"/>
                <w:kern w:val="0"/>
                <w:szCs w:val="21"/>
              </w:rPr>
            </w:pPr>
            <w:r>
              <w:rPr>
                <w:rFonts w:hint="eastAsia" w:eastAsia="仿宋_GB2312"/>
                <w:color w:val="000000"/>
                <w:kern w:val="0"/>
                <w:szCs w:val="21"/>
              </w:rPr>
              <w:t>《公路建设监督管理办法》（2006年交通部令第6号）第八条。</w:t>
            </w:r>
          </w:p>
        </w:tc>
        <w:tc>
          <w:tcPr>
            <w:tcW w:w="4459"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根据粤机编办函〔2015〕224号进行调整，调整后作为行政许可事项“公路工程设计审查批准”（编码kfxk120023）予以实施。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659"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6</w:t>
            </w:r>
          </w:p>
        </w:tc>
        <w:tc>
          <w:tcPr>
            <w:tcW w:w="157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区建设和环境保护局</w:t>
            </w:r>
          </w:p>
        </w:tc>
        <w:tc>
          <w:tcPr>
            <w:tcW w:w="19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区管权限交通建设项目（公路工程）施工图设计审查</w:t>
            </w:r>
          </w:p>
        </w:tc>
        <w:tc>
          <w:tcPr>
            <w:tcW w:w="6326" w:type="dxa"/>
            <w:noWrap w:val="0"/>
            <w:vAlign w:val="center"/>
          </w:tcPr>
          <w:p>
            <w:pPr>
              <w:widowControl/>
              <w:numPr>
                <w:ilvl w:val="0"/>
                <w:numId w:val="5"/>
              </w:numPr>
              <w:spacing w:line="360" w:lineRule="exact"/>
              <w:jc w:val="left"/>
              <w:textAlignment w:val="center"/>
              <w:rPr>
                <w:rFonts w:hint="eastAsia" w:eastAsia="仿宋_GB2312"/>
                <w:color w:val="000000"/>
                <w:kern w:val="0"/>
                <w:szCs w:val="21"/>
              </w:rPr>
            </w:pPr>
            <w:r>
              <w:rPr>
                <w:rFonts w:hint="eastAsia" w:eastAsia="仿宋_GB2312"/>
                <w:color w:val="000000"/>
                <w:kern w:val="0"/>
                <w:szCs w:val="21"/>
              </w:rPr>
              <w:t>《建设工程质量管理条例》（2000年国务院令第279号）第十一条。</w:t>
            </w:r>
          </w:p>
          <w:p>
            <w:pPr>
              <w:widowControl/>
              <w:numPr>
                <w:ilvl w:val="0"/>
                <w:numId w:val="5"/>
              </w:numPr>
              <w:spacing w:line="360" w:lineRule="exact"/>
              <w:jc w:val="left"/>
              <w:textAlignment w:val="center"/>
              <w:rPr>
                <w:rFonts w:eastAsia="仿宋_GB2312"/>
                <w:color w:val="000000"/>
                <w:kern w:val="0"/>
                <w:szCs w:val="21"/>
              </w:rPr>
            </w:pPr>
            <w:r>
              <w:rPr>
                <w:rFonts w:hint="eastAsia" w:eastAsia="仿宋_GB2312"/>
                <w:color w:val="000000"/>
                <w:kern w:val="0"/>
                <w:szCs w:val="21"/>
              </w:rPr>
              <w:t>《公路建设监督管理办法》（2006年交通部令第6号）第九条。</w:t>
            </w:r>
          </w:p>
        </w:tc>
        <w:tc>
          <w:tcPr>
            <w:tcW w:w="4459"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根据粤机编办函〔2015〕224号进行调整，调整后作为行政许可事项“公路工程设计审查批准”（编码kfxk120023）予以实施。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659"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7</w:t>
            </w:r>
          </w:p>
        </w:tc>
        <w:tc>
          <w:tcPr>
            <w:tcW w:w="157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区建设和环境保护局</w:t>
            </w:r>
          </w:p>
        </w:tc>
        <w:tc>
          <w:tcPr>
            <w:tcW w:w="19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区管权限交通建设项目竣工验收</w:t>
            </w:r>
          </w:p>
        </w:tc>
        <w:tc>
          <w:tcPr>
            <w:tcW w:w="6326" w:type="dxa"/>
            <w:noWrap w:val="0"/>
            <w:vAlign w:val="center"/>
          </w:tcPr>
          <w:p>
            <w:pPr>
              <w:widowControl/>
              <w:numPr>
                <w:ilvl w:val="0"/>
                <w:numId w:val="6"/>
              </w:numPr>
              <w:spacing w:line="360" w:lineRule="exact"/>
              <w:jc w:val="left"/>
              <w:textAlignment w:val="center"/>
              <w:rPr>
                <w:rFonts w:hint="eastAsia" w:eastAsia="仿宋_GB2312"/>
                <w:color w:val="000000"/>
                <w:kern w:val="0"/>
                <w:szCs w:val="21"/>
              </w:rPr>
            </w:pPr>
            <w:r>
              <w:rPr>
                <w:rFonts w:hint="eastAsia" w:eastAsia="仿宋_GB2312"/>
                <w:color w:val="000000"/>
                <w:kern w:val="0"/>
                <w:szCs w:val="21"/>
              </w:rPr>
              <w:t>《中华人民共和国公路法》（2009年修正）第三十三条。                                2.《公路工程竣（交）工验收办法》（2004年交通部令第3号）第三条、第六条、第十七条。</w:t>
            </w:r>
          </w:p>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3.《公路建设监督管理办法》（2006年交通部令第6号）第十一条。</w:t>
            </w:r>
          </w:p>
        </w:tc>
        <w:tc>
          <w:tcPr>
            <w:tcW w:w="4459" w:type="dxa"/>
            <w:noWrap w:val="0"/>
            <w:vAlign w:val="center"/>
          </w:tcPr>
          <w:p>
            <w:pPr>
              <w:widowControl/>
              <w:spacing w:line="360" w:lineRule="exact"/>
              <w:jc w:val="left"/>
              <w:textAlignment w:val="center"/>
              <w:rPr>
                <w:rFonts w:eastAsia="仿宋_GB2312"/>
                <w:color w:val="000000"/>
                <w:kern w:val="0"/>
                <w:szCs w:val="21"/>
              </w:rPr>
            </w:pPr>
            <w:bookmarkStart w:id="3" w:name="OLE_LINK12"/>
            <w:r>
              <w:rPr>
                <w:rFonts w:hint="eastAsia" w:eastAsia="仿宋_GB2312"/>
                <w:color w:val="000000"/>
                <w:kern w:val="0"/>
                <w:szCs w:val="21"/>
              </w:rPr>
              <w:t>根据粤机编办函〔2015〕224号进行调整，调整后作为行政许可事项“不收费公路建设项目和修复项目竣工验收”（编码kfxk120019）予以实施。</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59" w:type="dxa"/>
            <w:noWrap w:val="0"/>
            <w:vAlign w:val="center"/>
          </w:tcPr>
          <w:p>
            <w:pPr>
              <w:widowControl/>
              <w:spacing w:line="360" w:lineRule="exact"/>
              <w:jc w:val="center"/>
              <w:textAlignment w:val="center"/>
              <w:rPr>
                <w:rFonts w:eastAsia="仿宋_GB2312"/>
                <w:color w:val="000000"/>
                <w:kern w:val="0"/>
                <w:szCs w:val="21"/>
              </w:rPr>
            </w:pPr>
            <w:r>
              <w:rPr>
                <w:rFonts w:hint="eastAsia" w:eastAsia="仿宋_GB2312"/>
                <w:color w:val="000000"/>
                <w:kern w:val="0"/>
                <w:szCs w:val="21"/>
              </w:rPr>
              <w:t>8</w:t>
            </w:r>
          </w:p>
        </w:tc>
        <w:tc>
          <w:tcPr>
            <w:tcW w:w="1577"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区安全生产监督管理局</w:t>
            </w:r>
          </w:p>
        </w:tc>
        <w:tc>
          <w:tcPr>
            <w:tcW w:w="19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烟花爆竹经营（零售）许可证核发</w:t>
            </w:r>
          </w:p>
        </w:tc>
        <w:tc>
          <w:tcPr>
            <w:tcW w:w="6326" w:type="dxa"/>
            <w:noWrap w:val="0"/>
            <w:vAlign w:val="center"/>
          </w:tcPr>
          <w:p>
            <w:pPr>
              <w:widowControl/>
              <w:spacing w:line="360" w:lineRule="exact"/>
              <w:jc w:val="left"/>
              <w:textAlignment w:val="center"/>
              <w:rPr>
                <w:rFonts w:hint="eastAsia" w:eastAsia="仿宋_GB2312"/>
                <w:color w:val="000000"/>
                <w:kern w:val="0"/>
                <w:szCs w:val="21"/>
              </w:rPr>
            </w:pPr>
            <w:r>
              <w:rPr>
                <w:rFonts w:hint="eastAsia" w:eastAsia="仿宋_GB2312"/>
                <w:color w:val="000000"/>
                <w:kern w:val="0"/>
                <w:szCs w:val="21"/>
              </w:rPr>
              <w:t>1.《烟花爆竹安全管理条例》（2006年国务院令第455号）第十九条。</w:t>
            </w:r>
          </w:p>
          <w:p>
            <w:pPr>
              <w:widowControl/>
              <w:spacing w:line="360" w:lineRule="exact"/>
              <w:jc w:val="left"/>
              <w:textAlignment w:val="center"/>
              <w:rPr>
                <w:rFonts w:hint="eastAsia" w:eastAsia="仿宋_GB2312"/>
                <w:color w:val="000000"/>
                <w:kern w:val="0"/>
                <w:szCs w:val="21"/>
              </w:rPr>
            </w:pPr>
            <w:r>
              <w:rPr>
                <w:rFonts w:hint="eastAsia" w:eastAsia="仿宋_GB2312"/>
                <w:color w:val="000000"/>
                <w:kern w:val="0"/>
                <w:szCs w:val="21"/>
              </w:rPr>
              <w:t>2.《烟花爆竹经营许可实施办法》（2013年国家安全生产监督管理总局令第65号）第五条。</w:t>
            </w:r>
          </w:p>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3.《国务院关于第六批取消和调整行政审批项目的决定》（国发〔2012〕52号）。</w:t>
            </w:r>
          </w:p>
        </w:tc>
        <w:tc>
          <w:tcPr>
            <w:tcW w:w="4459" w:type="dxa"/>
            <w:noWrap w:val="0"/>
            <w:vAlign w:val="center"/>
          </w:tcPr>
          <w:p>
            <w:pPr>
              <w:widowControl/>
              <w:spacing w:line="360" w:lineRule="exact"/>
              <w:jc w:val="left"/>
              <w:textAlignment w:val="center"/>
              <w:rPr>
                <w:rFonts w:eastAsia="仿宋_GB2312"/>
                <w:color w:val="000000"/>
                <w:kern w:val="0"/>
                <w:szCs w:val="21"/>
              </w:rPr>
            </w:pPr>
            <w:bookmarkStart w:id="4" w:name="OLE_LINK13"/>
            <w:r>
              <w:rPr>
                <w:rFonts w:hint="eastAsia" w:eastAsia="仿宋_GB2312"/>
                <w:color w:val="000000"/>
                <w:kern w:val="0"/>
                <w:szCs w:val="21"/>
              </w:rPr>
              <w:t>根据《广东省行政审批事项通用目录》（2016年版）进行调整，调整后作为行政许可事项“烟花爆竹经营（零售）许可”）（编码kfxk140001）予以实施。</w:t>
            </w:r>
            <w:bookmarkEnd w:id="4"/>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A26E0"/>
    <w:multiLevelType w:val="singleLevel"/>
    <w:tmpl w:val="576A26E0"/>
    <w:lvl w:ilvl="0" w:tentative="0">
      <w:start w:val="1"/>
      <w:numFmt w:val="decimal"/>
      <w:suff w:val="nothing"/>
      <w:lvlText w:val="%1."/>
      <w:lvlJc w:val="left"/>
    </w:lvl>
  </w:abstractNum>
  <w:abstractNum w:abstractNumId="1">
    <w:nsid w:val="576A26F2"/>
    <w:multiLevelType w:val="singleLevel"/>
    <w:tmpl w:val="576A26F2"/>
    <w:lvl w:ilvl="0" w:tentative="0">
      <w:start w:val="1"/>
      <w:numFmt w:val="decimal"/>
      <w:suff w:val="nothing"/>
      <w:lvlText w:val="%1."/>
      <w:lvlJc w:val="left"/>
    </w:lvl>
  </w:abstractNum>
  <w:abstractNum w:abstractNumId="2">
    <w:nsid w:val="576A2703"/>
    <w:multiLevelType w:val="singleLevel"/>
    <w:tmpl w:val="576A2703"/>
    <w:lvl w:ilvl="0" w:tentative="0">
      <w:start w:val="1"/>
      <w:numFmt w:val="decimal"/>
      <w:suff w:val="nothing"/>
      <w:lvlText w:val="%1."/>
      <w:lvlJc w:val="left"/>
    </w:lvl>
  </w:abstractNum>
  <w:abstractNum w:abstractNumId="3">
    <w:nsid w:val="576A2728"/>
    <w:multiLevelType w:val="singleLevel"/>
    <w:tmpl w:val="576A2728"/>
    <w:lvl w:ilvl="0" w:tentative="0">
      <w:start w:val="1"/>
      <w:numFmt w:val="decimal"/>
      <w:suff w:val="nothing"/>
      <w:lvlText w:val="%1."/>
      <w:lvlJc w:val="left"/>
    </w:lvl>
  </w:abstractNum>
  <w:abstractNum w:abstractNumId="4">
    <w:nsid w:val="576A2776"/>
    <w:multiLevelType w:val="singleLevel"/>
    <w:tmpl w:val="576A2776"/>
    <w:lvl w:ilvl="0" w:tentative="0">
      <w:start w:val="1"/>
      <w:numFmt w:val="decimal"/>
      <w:suff w:val="nothing"/>
      <w:lvlText w:val="%1."/>
      <w:lvlJc w:val="left"/>
    </w:lvl>
  </w:abstractNum>
  <w:abstractNum w:abstractNumId="5">
    <w:nsid w:val="576A2786"/>
    <w:multiLevelType w:val="singleLevel"/>
    <w:tmpl w:val="576A2786"/>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F557E"/>
    <w:rsid w:val="219F557E"/>
    <w:rsid w:val="389313AE"/>
    <w:rsid w:val="42B768A6"/>
    <w:rsid w:val="6C14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napToGrid w:val="0"/>
      <w:spacing w:val="2"/>
      <w:kern w:val="0"/>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2019-01-23T01:32:00Z</dcterms:created>
  <dc:creator>咿呀1420826249</dc:creator>
  <cp:lastModifiedBy>咿呀1420826249</cp:lastModifiedBy>
  <dcterms:modified xsi:type="dcterms:W3CDTF">2019-01-23T01:36:00Z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