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64" w:rsidRPr="00E92E23" w:rsidRDefault="000F2764" w:rsidP="00E92E23">
      <w:pPr>
        <w:autoSpaceDE w:val="0"/>
        <w:autoSpaceDN w:val="0"/>
        <w:adjustRightInd w:val="0"/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>附件3</w:t>
      </w:r>
    </w:p>
    <w:p w:rsidR="000F2764" w:rsidRPr="00E92E23" w:rsidRDefault="000F2764" w:rsidP="00E92E23">
      <w:pPr>
        <w:autoSpaceDE w:val="0"/>
        <w:autoSpaceDN w:val="0"/>
        <w:adjustRightInd w:val="0"/>
        <w:spacing w:line="480" w:lineRule="auto"/>
        <w:contextualSpacing/>
        <w:jc w:val="center"/>
        <w:outlineLvl w:val="0"/>
        <w:rPr>
          <w:rFonts w:asciiTheme="minorEastAsia" w:eastAsiaTheme="minorEastAsia" w:hAnsiTheme="minorEastAsia"/>
          <w:b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b/>
          <w:color w:val="000000"/>
          <w:sz w:val="24"/>
          <w:lang w:val="zh-CN"/>
        </w:rPr>
        <w:t>经济技术标评审表</w:t>
      </w:r>
    </w:p>
    <w:tbl>
      <w:tblPr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2452"/>
        <w:gridCol w:w="2686"/>
        <w:gridCol w:w="6162"/>
        <w:gridCol w:w="1738"/>
      </w:tblGrid>
      <w:tr w:rsidR="000F2764" w:rsidRPr="00E92E23" w:rsidTr="00E92E23">
        <w:trPr>
          <w:cantSplit/>
          <w:trHeight w:val="1047"/>
          <w:tblHeader/>
        </w:trPr>
        <w:tc>
          <w:tcPr>
            <w:tcW w:w="713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  <w:t>评价指标</w:t>
            </w:r>
          </w:p>
        </w:tc>
        <w:tc>
          <w:tcPr>
            <w:tcW w:w="105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  <w:t>指标分值</w:t>
            </w:r>
            <w:r w:rsidRPr="00E92E2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vertAlign w:val="superscript"/>
              </w:rPr>
              <w:t>[1]</w:t>
            </w:r>
          </w:p>
        </w:tc>
      </w:tr>
      <w:tr w:rsidR="000F2764" w:rsidRPr="00E92E23" w:rsidTr="00E92E23">
        <w:trPr>
          <w:cantSplit/>
          <w:trHeight w:val="631"/>
        </w:trPr>
        <w:tc>
          <w:tcPr>
            <w:tcW w:w="713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GMP资质认证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情况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[2]</w:t>
            </w:r>
          </w:p>
        </w:tc>
        <w:tc>
          <w:tcPr>
            <w:tcW w:w="8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获得2010版GMP认证药品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7分</w:t>
            </w:r>
          </w:p>
        </w:tc>
      </w:tr>
      <w:tr w:rsidR="000F2764" w:rsidRPr="00E92E23" w:rsidTr="00E92E23">
        <w:trPr>
          <w:cantSplit/>
          <w:trHeight w:val="630"/>
        </w:trPr>
        <w:tc>
          <w:tcPr>
            <w:tcW w:w="713" w:type="dxa"/>
            <w:vMerge w:val="restart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药品质量</w:t>
            </w:r>
          </w:p>
        </w:tc>
        <w:tc>
          <w:tcPr>
            <w:tcW w:w="2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药品质量抽验抽查情况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[3]</w:t>
            </w:r>
          </w:p>
        </w:tc>
        <w:tc>
          <w:tcPr>
            <w:tcW w:w="6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符合规定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8分</w:t>
            </w:r>
          </w:p>
        </w:tc>
      </w:tr>
      <w:tr w:rsidR="000F2764" w:rsidRPr="00E92E23" w:rsidTr="00E92E23">
        <w:trPr>
          <w:cantSplit/>
          <w:trHeight w:val="63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同企业同品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规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一年内不符合规定1次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3分</w:t>
            </w:r>
          </w:p>
        </w:tc>
      </w:tr>
      <w:tr w:rsidR="000F2764" w:rsidRPr="00E92E23" w:rsidTr="00E92E23">
        <w:trPr>
          <w:cantSplit/>
          <w:trHeight w:val="616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同企业同品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规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一年内不符合规定2次及以上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0分</w:t>
            </w:r>
          </w:p>
        </w:tc>
      </w:tr>
      <w:tr w:rsidR="000F2764" w:rsidRPr="00E92E23" w:rsidTr="00E92E23">
        <w:trPr>
          <w:cantSplit/>
          <w:trHeight w:val="1832"/>
        </w:trPr>
        <w:tc>
          <w:tcPr>
            <w:tcW w:w="713" w:type="dxa"/>
            <w:vMerge w:val="restart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生产规模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[4]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年度主营业务收入排名为准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[5]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化学药品排序前100家企业生产的药品、中成药排序前50家企业生产的药品、生物生化制品排序前50家企业生产的药品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18分</w:t>
            </w:r>
          </w:p>
        </w:tc>
      </w:tr>
      <w:tr w:rsidR="000F2764" w:rsidRPr="00E92E23" w:rsidTr="00E92E23">
        <w:trPr>
          <w:cantSplit/>
          <w:trHeight w:val="1916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化学药品排序第101～200家企业生产的药品、中成药排序第51～100家企业生产的药品、生物生化制品排序第51～100家企业生产的药品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16分</w:t>
            </w:r>
          </w:p>
        </w:tc>
      </w:tr>
      <w:tr w:rsidR="000F2764" w:rsidRPr="00E92E23" w:rsidTr="00E92E23">
        <w:trPr>
          <w:cantSplit/>
          <w:trHeight w:val="200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化学药品排序第201～400家企业生产的药品、中成药排序第101～300家企业生产的药品、生物生化制品排序第101名以后企业生产的药品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14分</w:t>
            </w:r>
          </w:p>
        </w:tc>
      </w:tr>
      <w:tr w:rsidR="000F2764" w:rsidRPr="00E92E23" w:rsidTr="00E92E23">
        <w:trPr>
          <w:cantSplit/>
          <w:trHeight w:val="756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其他未列入以上排序的药品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12分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 w:val="restart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配送能力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[6]</w:t>
            </w:r>
          </w:p>
        </w:tc>
        <w:tc>
          <w:tcPr>
            <w:tcW w:w="2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年度广州药品采购平台的医疗机构到货确认率为依据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95～100%（含95%）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18分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90～95%（含90%）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17分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85～90%（含85%）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16分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80～85%（含85%）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15分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70～80%（含70%）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12分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60～70%（含60%）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10分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50～60%（含50%）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8分</w:t>
            </w:r>
          </w:p>
        </w:tc>
      </w:tr>
      <w:tr w:rsidR="000F2764" w:rsidRPr="00E92E23" w:rsidTr="00E92E23">
        <w:trPr>
          <w:cantSplit/>
          <w:trHeight w:val="510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50%以下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5分</w:t>
            </w:r>
          </w:p>
        </w:tc>
      </w:tr>
      <w:tr w:rsidR="000F2764" w:rsidRPr="00E92E23" w:rsidTr="00E92E23">
        <w:trPr>
          <w:cantSplit/>
          <w:trHeight w:val="2474"/>
        </w:trPr>
        <w:tc>
          <w:tcPr>
            <w:tcW w:w="713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产品广州地区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总销售额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[6]</w:t>
            </w:r>
          </w:p>
        </w:tc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年度具体品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规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在广州药品集团采购平台的配送金额为依据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500万元以下得5分，每增加200万元加0.5分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5-10分</w:t>
            </w:r>
          </w:p>
        </w:tc>
      </w:tr>
      <w:tr w:rsidR="000F2764" w:rsidRPr="00E92E23" w:rsidTr="00E92E23">
        <w:trPr>
          <w:cantSplit/>
          <w:trHeight w:val="1162"/>
        </w:trPr>
        <w:tc>
          <w:tcPr>
            <w:tcW w:w="713" w:type="dxa"/>
            <w:vMerge w:val="restart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生产企业市场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信誉记录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[6]</w:t>
            </w:r>
          </w:p>
        </w:tc>
        <w:tc>
          <w:tcPr>
            <w:tcW w:w="2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年度药品电子购</w:t>
            </w: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销合同签订的时效为依据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90%（含）以上的购销合同在医疗机构发起合同10天内签订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7分</w:t>
            </w:r>
          </w:p>
        </w:tc>
      </w:tr>
      <w:tr w:rsidR="000F2764" w:rsidRPr="00E92E23" w:rsidTr="00E92E23">
        <w:trPr>
          <w:cantSplit/>
          <w:trHeight w:val="1218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80～90%（含80%）购销合同在医疗机构发起合同10天内签订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5分</w:t>
            </w:r>
          </w:p>
        </w:tc>
      </w:tr>
      <w:tr w:rsidR="000F2764" w:rsidRPr="00E92E23" w:rsidTr="00E92E23">
        <w:trPr>
          <w:cantSplit/>
          <w:trHeight w:val="1007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＜80%购销合同在医疗机构发起合同10天内签订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0分</w:t>
            </w:r>
          </w:p>
        </w:tc>
      </w:tr>
      <w:tr w:rsidR="000F2764" w:rsidRPr="00E92E23" w:rsidTr="00E92E23">
        <w:trPr>
          <w:cantSplit/>
          <w:trHeight w:val="1189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年度企业被公布的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不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供货、不足量或不在规定时间内供货药品交易违规行为为依据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[7]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企业无被公布的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不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供货、不足量或不在规定时间内供货等药品交易违规行为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7分</w:t>
            </w:r>
          </w:p>
        </w:tc>
      </w:tr>
      <w:tr w:rsidR="000F2764" w:rsidRPr="00E92E23" w:rsidTr="00E92E23">
        <w:trPr>
          <w:cantSplit/>
          <w:trHeight w:val="1203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企业品种有1宗被公布的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不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供货、不足量或不在规定时间内供货药品交易违规行为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4分</w:t>
            </w:r>
          </w:p>
        </w:tc>
      </w:tr>
      <w:tr w:rsidR="000F2764" w:rsidRPr="00E92E23" w:rsidTr="00E92E23">
        <w:trPr>
          <w:cantSplit/>
          <w:trHeight w:val="1231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企业品种有2宗及以上被公布的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不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供货、不足量或不在规定时间内供货药品交易违规行为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0分</w:t>
            </w:r>
          </w:p>
        </w:tc>
      </w:tr>
      <w:tr w:rsidR="000F2764" w:rsidRPr="00E92E23" w:rsidTr="00E92E23">
        <w:trPr>
          <w:cantSplit/>
          <w:trHeight w:val="742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一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年度指定</w:t>
            </w: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配送商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的配送时限为依据</w:t>
            </w: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90%（含）以上的订单48小时内有出库纪录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6分</w:t>
            </w:r>
          </w:p>
        </w:tc>
      </w:tr>
      <w:tr w:rsidR="000F2764" w:rsidRPr="00E92E23" w:rsidTr="00E92E23">
        <w:trPr>
          <w:cantSplit/>
          <w:trHeight w:val="784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80～90%（含80%）订单48小时内有出库纪录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4分</w:t>
            </w:r>
          </w:p>
        </w:tc>
      </w:tr>
      <w:tr w:rsidR="000F2764" w:rsidRPr="00E92E23" w:rsidTr="00E92E23">
        <w:trPr>
          <w:cantSplit/>
          <w:trHeight w:val="812"/>
        </w:trPr>
        <w:tc>
          <w:tcPr>
            <w:tcW w:w="713" w:type="dxa"/>
            <w:vMerge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＜80%订单48小时内有出库纪录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0分</w:t>
            </w:r>
          </w:p>
        </w:tc>
      </w:tr>
      <w:tr w:rsidR="000F2764" w:rsidRPr="00E92E23" w:rsidTr="00E92E23">
        <w:trPr>
          <w:cantSplit/>
          <w:trHeight w:val="991"/>
        </w:trPr>
        <w:tc>
          <w:tcPr>
            <w:tcW w:w="713" w:type="dxa"/>
            <w:vAlign w:val="center"/>
          </w:tcPr>
          <w:p w:rsidR="000F2764" w:rsidRPr="00E92E23" w:rsidRDefault="000F2764" w:rsidP="00E92E23">
            <w:pPr>
              <w:tabs>
                <w:tab w:val="center" w:pos="411"/>
                <w:tab w:val="left" w:pos="529"/>
              </w:tabs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首次仿制国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外专利</w:t>
            </w:r>
            <w:proofErr w:type="gramEnd"/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药品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[8]</w:t>
            </w:r>
          </w:p>
        </w:tc>
        <w:tc>
          <w:tcPr>
            <w:tcW w:w="8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国产药品首次取得该药品国家药品监督管理部门的制剂批准文号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12分</w:t>
            </w:r>
          </w:p>
        </w:tc>
      </w:tr>
      <w:tr w:rsidR="000F2764" w:rsidRPr="00E92E23" w:rsidTr="00E92E23">
        <w:trPr>
          <w:cantSplit/>
          <w:trHeight w:val="1341"/>
        </w:trPr>
        <w:tc>
          <w:tcPr>
            <w:tcW w:w="713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药品质量标准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起草单位</w:t>
            </w:r>
          </w:p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对应药品</w:t>
            </w:r>
            <w:r w:rsidRPr="00E92E23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perscript"/>
              </w:rPr>
              <w:t>[9]</w:t>
            </w:r>
          </w:p>
        </w:tc>
        <w:tc>
          <w:tcPr>
            <w:tcW w:w="8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以国家药品监督管理部门颁发的药品质量标准判定</w:t>
            </w:r>
          </w:p>
        </w:tc>
        <w:tc>
          <w:tcPr>
            <w:tcW w:w="1738" w:type="dxa"/>
            <w:vAlign w:val="center"/>
          </w:tcPr>
          <w:p w:rsidR="000F2764" w:rsidRPr="00E92E23" w:rsidRDefault="000F2764" w:rsidP="00E92E23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92E23">
              <w:rPr>
                <w:rFonts w:asciiTheme="minorEastAsia" w:eastAsiaTheme="minorEastAsia" w:hAnsiTheme="minorEastAsia"/>
                <w:color w:val="000000"/>
                <w:sz w:val="24"/>
              </w:rPr>
              <w:t>7分</w:t>
            </w:r>
          </w:p>
        </w:tc>
      </w:tr>
    </w:tbl>
    <w:p w:rsidR="000F2764" w:rsidRPr="00E92E23" w:rsidRDefault="000F2764" w:rsidP="00E92E23">
      <w:pPr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备注：1</w:t>
      </w: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同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一评价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指标中，同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一品种按就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高不就低的原则赋分。</w:t>
      </w:r>
    </w:p>
    <w:p w:rsidR="000F2764" w:rsidRPr="00E92E23" w:rsidRDefault="000F2764" w:rsidP="00E92E23">
      <w:pPr>
        <w:spacing w:line="480" w:lineRule="auto"/>
        <w:ind w:leftChars="340" w:left="1110" w:hangingChars="165" w:hanging="396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 2.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进口品种（含进口分包装品种）的“GMP资质认证情况”按</w:t>
      </w:r>
      <w:r w:rsidRPr="00E92E23">
        <w:rPr>
          <w:rFonts w:asciiTheme="minorEastAsia" w:eastAsiaTheme="minorEastAsia" w:hAnsiTheme="minorEastAsia"/>
          <w:color w:val="000000"/>
          <w:sz w:val="24"/>
        </w:rPr>
        <w:t>7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分赋分。</w:t>
      </w:r>
      <w:r w:rsidRPr="00E92E23">
        <w:rPr>
          <w:rFonts w:asciiTheme="minorEastAsia" w:eastAsiaTheme="minorEastAsia" w:hAnsiTheme="minorEastAsia"/>
          <w:color w:val="000000"/>
          <w:sz w:val="24"/>
        </w:rPr>
        <w:t>未获GMP认证的企业委托GMP认证企业生产的药品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按</w:t>
      </w:r>
      <w:r w:rsidRPr="00E92E23">
        <w:rPr>
          <w:rFonts w:asciiTheme="minorEastAsia" w:eastAsiaTheme="minorEastAsia" w:hAnsiTheme="minorEastAsia"/>
          <w:color w:val="000000"/>
          <w:sz w:val="24"/>
        </w:rPr>
        <w:t>0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分赋分</w:t>
      </w:r>
      <w:r w:rsidRPr="00E92E23">
        <w:rPr>
          <w:rFonts w:asciiTheme="minorEastAsia" w:eastAsiaTheme="minorEastAsia" w:hAnsiTheme="minorEastAsia"/>
          <w:color w:val="000000"/>
          <w:sz w:val="24"/>
        </w:rPr>
        <w:t>。</w:t>
      </w:r>
    </w:p>
    <w:p w:rsidR="000F2764" w:rsidRPr="00E92E23" w:rsidRDefault="000F2764" w:rsidP="00E92E23">
      <w:pPr>
        <w:spacing w:line="480" w:lineRule="auto"/>
        <w:ind w:firstLineChars="320" w:firstLine="768"/>
        <w:contextualSpacing/>
        <w:rPr>
          <w:rFonts w:asciiTheme="minorEastAsia" w:eastAsiaTheme="minorEastAsia" w:hAnsiTheme="minorEastAsia"/>
          <w:color w:val="000000"/>
          <w:spacing w:val="-6"/>
          <w:sz w:val="24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3. </w:t>
      </w:r>
      <w:r w:rsidRPr="00E92E23">
        <w:rPr>
          <w:rFonts w:asciiTheme="minorEastAsia" w:eastAsiaTheme="minorEastAsia" w:hAnsiTheme="minorEastAsia"/>
          <w:color w:val="000000"/>
          <w:spacing w:val="-6"/>
          <w:sz w:val="24"/>
          <w:lang w:val="zh-CN"/>
        </w:rPr>
        <w:t>“药品质量抽验抽查情况”以上</w:t>
      </w:r>
      <w:proofErr w:type="gramStart"/>
      <w:r w:rsidRPr="00E92E23">
        <w:rPr>
          <w:rFonts w:asciiTheme="minorEastAsia" w:eastAsiaTheme="minorEastAsia" w:hAnsiTheme="minorEastAsia"/>
          <w:color w:val="000000"/>
          <w:spacing w:val="-6"/>
          <w:sz w:val="24"/>
          <w:lang w:val="zh-CN"/>
        </w:rPr>
        <w:t>一</w:t>
      </w:r>
      <w:proofErr w:type="gramEnd"/>
      <w:r w:rsidRPr="00E92E23">
        <w:rPr>
          <w:rFonts w:asciiTheme="minorEastAsia" w:eastAsiaTheme="minorEastAsia" w:hAnsiTheme="minorEastAsia"/>
          <w:color w:val="000000"/>
          <w:spacing w:val="-6"/>
          <w:sz w:val="24"/>
          <w:lang w:val="zh-CN"/>
        </w:rPr>
        <w:t>年度国家、广东省、广州市药品监督管理部门公布的药品质量公告为依据。</w:t>
      </w:r>
    </w:p>
    <w:p w:rsidR="000F2764" w:rsidRPr="00E92E23" w:rsidRDefault="000F2764" w:rsidP="00E92E23">
      <w:pPr>
        <w:spacing w:line="480" w:lineRule="auto"/>
        <w:ind w:firstLineChars="320" w:firstLine="768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4.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进口品种（含进口分包装品种）的“生产规模”按</w:t>
      </w:r>
      <w:r w:rsidRPr="00E92E23">
        <w:rPr>
          <w:rFonts w:asciiTheme="minorEastAsia" w:eastAsiaTheme="minorEastAsia" w:hAnsiTheme="minorEastAsia"/>
          <w:color w:val="000000"/>
          <w:sz w:val="24"/>
        </w:rPr>
        <w:t>16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分赋分。</w:t>
      </w:r>
    </w:p>
    <w:p w:rsidR="000F2764" w:rsidRPr="00E92E23" w:rsidRDefault="000F2764" w:rsidP="00E92E23">
      <w:pPr>
        <w:spacing w:line="480" w:lineRule="auto"/>
        <w:ind w:firstLineChars="315" w:firstLine="756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5.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企业排名按照工业和信息化部组织编制的最新一期《中国医药统计年报》医药企业排序名单为准。</w:t>
      </w:r>
    </w:p>
    <w:p w:rsidR="000F2764" w:rsidRPr="00E92E23" w:rsidRDefault="000F2764" w:rsidP="00E92E23">
      <w:pPr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      6.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“配送能力”、“</w:t>
      </w:r>
      <w:r w:rsidRPr="00E92E23">
        <w:rPr>
          <w:rFonts w:asciiTheme="minorEastAsia" w:eastAsiaTheme="minorEastAsia" w:hAnsiTheme="minorEastAsia"/>
          <w:color w:val="000000"/>
          <w:sz w:val="24"/>
        </w:rPr>
        <w:t>生产企业市场信誉记录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”、</w:t>
      </w:r>
      <w:r w:rsidRPr="00E92E23">
        <w:rPr>
          <w:rFonts w:asciiTheme="minorEastAsia" w:eastAsiaTheme="minorEastAsia" w:hAnsiTheme="minorEastAsia"/>
          <w:color w:val="000000"/>
          <w:sz w:val="24"/>
        </w:rPr>
        <w:t>“产品广州地区总销售额”以广州药品集团采购平台上一年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度网上  交易数据为依据赋分。</w:t>
      </w:r>
    </w:p>
    <w:p w:rsidR="000F2764" w:rsidRPr="00E92E23" w:rsidRDefault="000F2764" w:rsidP="00E92E23">
      <w:pPr>
        <w:spacing w:line="480" w:lineRule="auto"/>
        <w:ind w:firstLineChars="300" w:firstLine="720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>7. “被公布的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</w:rPr>
        <w:t>不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</w:rPr>
        <w:t>供货、不足量或不在规定时间内供货药品交易违规行为”以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广州医疗机构药品集团</w:t>
      </w:r>
    </w:p>
    <w:p w:rsidR="000F2764" w:rsidRPr="00E92E23" w:rsidRDefault="000F2764" w:rsidP="00E92E23">
      <w:pPr>
        <w:spacing w:line="480" w:lineRule="auto"/>
        <w:ind w:firstLineChars="250" w:firstLine="600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 xml:space="preserve">   采购主</w:t>
      </w:r>
      <w:r w:rsidRPr="00E92E23">
        <w:rPr>
          <w:rFonts w:asciiTheme="minorEastAsia" w:eastAsiaTheme="minorEastAsia" w:hAnsiTheme="minorEastAsia"/>
          <w:color w:val="000000"/>
          <w:sz w:val="24"/>
        </w:rPr>
        <w:t>管部门公布为准。</w:t>
      </w:r>
    </w:p>
    <w:p w:rsidR="000F2764" w:rsidRPr="00E92E23" w:rsidRDefault="000F2764" w:rsidP="00E92E23">
      <w:pPr>
        <w:spacing w:line="480" w:lineRule="auto"/>
        <w:ind w:firstLineChars="315" w:firstLine="756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>8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. 以国家药品监督管理部门颁发的药品注册批件（或新药证书）为依据。专利到期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药按照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12分赋分。</w:t>
      </w:r>
    </w:p>
    <w:p w:rsidR="000F2764" w:rsidRPr="00E92E23" w:rsidRDefault="000F2764" w:rsidP="00E92E23">
      <w:pPr>
        <w:spacing w:line="480" w:lineRule="auto"/>
        <w:ind w:firstLineChars="310" w:firstLine="744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>9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. “药品质量标准起草单位对应药品”，专利到期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药按照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 xml:space="preserve">7分赋分。 </w:t>
      </w:r>
    </w:p>
    <w:p w:rsidR="000F2764" w:rsidRPr="00E92E23" w:rsidRDefault="000F2764" w:rsidP="00E92E23">
      <w:pPr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      10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. 新增产品及上一年度未成交品种，涉及上一年度相关指标无法提供</w:t>
      </w:r>
    </w:p>
    <w:p w:rsidR="000F2764" w:rsidRPr="00E92E23" w:rsidRDefault="000F2764" w:rsidP="00E92E23">
      <w:pPr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 xml:space="preserve">         的，按现有中间档次（指标未划分档次的按基础分）赋分。</w:t>
      </w:r>
    </w:p>
    <w:p w:rsidR="000F2764" w:rsidRPr="00E92E23" w:rsidRDefault="000F2764" w:rsidP="00E92E23">
      <w:pPr>
        <w:spacing w:line="480" w:lineRule="auto"/>
        <w:contextualSpacing/>
        <w:rPr>
          <w:rFonts w:asciiTheme="minorEastAsia" w:eastAsiaTheme="minorEastAsia" w:hAnsiTheme="minorEastAsia"/>
          <w:color w:val="000000"/>
          <w:sz w:val="24"/>
          <w:highlight w:val="yellow"/>
          <w:lang w:val="zh-CN"/>
        </w:rPr>
      </w:pPr>
      <w:r w:rsidRPr="00E92E23">
        <w:rPr>
          <w:rFonts w:asciiTheme="minorEastAsia" w:eastAsiaTheme="minorEastAsia" w:hAnsiTheme="minorEastAsia"/>
          <w:color w:val="000000"/>
          <w:sz w:val="24"/>
        </w:rPr>
        <w:t xml:space="preserve">      11. 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广州药品集团采购平台无上</w:t>
      </w:r>
      <w:proofErr w:type="gramStart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一</w:t>
      </w:r>
      <w:proofErr w:type="gramEnd"/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年度相关数据的，</w:t>
      </w:r>
      <w:r w:rsidRPr="00E92E23">
        <w:rPr>
          <w:rFonts w:asciiTheme="minorEastAsia" w:eastAsiaTheme="minorEastAsia" w:hAnsiTheme="minorEastAsia"/>
          <w:color w:val="000000"/>
          <w:sz w:val="24"/>
        </w:rPr>
        <w:t>采用上一年度省相关数据</w:t>
      </w:r>
      <w:r w:rsidRPr="00E92E23">
        <w:rPr>
          <w:rFonts w:asciiTheme="minorEastAsia" w:eastAsiaTheme="minorEastAsia" w:hAnsiTheme="minorEastAsia"/>
          <w:color w:val="000000"/>
          <w:sz w:val="24"/>
          <w:lang w:val="zh-CN"/>
        </w:rPr>
        <w:t>。</w:t>
      </w:r>
    </w:p>
    <w:p w:rsidR="004718FE" w:rsidRPr="00E92E23" w:rsidRDefault="00E92E23" w:rsidP="00E92E23">
      <w:pPr>
        <w:spacing w:line="480" w:lineRule="auto"/>
        <w:contextualSpacing/>
        <w:rPr>
          <w:rFonts w:asciiTheme="minorEastAsia" w:eastAsiaTheme="minorEastAsia" w:hAnsiTheme="minorEastAsia"/>
          <w:sz w:val="24"/>
        </w:rPr>
      </w:pPr>
    </w:p>
    <w:sectPr w:rsidR="004718FE" w:rsidRPr="00E92E23" w:rsidSect="000F2764"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2764"/>
    <w:rsid w:val="000F2764"/>
    <w:rsid w:val="001F4BDB"/>
    <w:rsid w:val="002B1827"/>
    <w:rsid w:val="002E2226"/>
    <w:rsid w:val="00353873"/>
    <w:rsid w:val="0037630A"/>
    <w:rsid w:val="003E594C"/>
    <w:rsid w:val="004A34DC"/>
    <w:rsid w:val="00533E3E"/>
    <w:rsid w:val="005A36FC"/>
    <w:rsid w:val="005A50C4"/>
    <w:rsid w:val="005C6E86"/>
    <w:rsid w:val="009941B5"/>
    <w:rsid w:val="00CB047D"/>
    <w:rsid w:val="00D734FC"/>
    <w:rsid w:val="00E809F7"/>
    <w:rsid w:val="00E92E23"/>
    <w:rsid w:val="00F52A2C"/>
    <w:rsid w:val="00F9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27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2018-08-31T14:12:00Z</dcterms:created>
  <dcterms:modified xsi:type="dcterms:W3CDTF">2018-08-31T14:16:00Z</dcterms:modified>
</cp:coreProperties>
</file>