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" w:rightChars="-1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ind w:right="-3" w:rightChars="-1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广州市政府门户网站内容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建设保障责任名单</w:t>
      </w:r>
    </w:p>
    <w:p>
      <w:pPr>
        <w:spacing w:line="560" w:lineRule="exact"/>
        <w:jc w:val="center"/>
        <w:rPr>
          <w:rFonts w:eastAsia="方正小标宋简体"/>
          <w:sz w:val="28"/>
          <w:szCs w:val="28"/>
        </w:rPr>
      </w:pPr>
    </w:p>
    <w:p>
      <w:pPr>
        <w:spacing w:line="560" w:lineRule="exact"/>
        <w:ind w:firstLine="632" w:firstLineChars="200"/>
        <w:rPr>
          <w:rFonts w:eastAsia="黑体"/>
          <w:szCs w:val="32"/>
        </w:rPr>
      </w:pPr>
      <w:r>
        <w:rPr>
          <w:rFonts w:hAnsi="黑体" w:eastAsia="黑体"/>
          <w:szCs w:val="32"/>
        </w:rPr>
        <w:t>各区政府（</w:t>
      </w:r>
      <w:r>
        <w:rPr>
          <w:rFonts w:eastAsia="黑体"/>
          <w:szCs w:val="32"/>
        </w:rPr>
        <w:t>11</w:t>
      </w:r>
      <w:r>
        <w:rPr>
          <w:rFonts w:hAnsi="黑体" w:eastAsia="黑体"/>
          <w:szCs w:val="32"/>
        </w:rPr>
        <w:t>个）：</w:t>
      </w:r>
    </w:p>
    <w:p>
      <w:pPr>
        <w:spacing w:line="540" w:lineRule="exact"/>
        <w:ind w:firstLine="632" w:firstLineChars="200"/>
        <w:rPr>
          <w:szCs w:val="32"/>
        </w:rPr>
      </w:pPr>
      <w:r>
        <w:rPr>
          <w:szCs w:val="32"/>
        </w:rPr>
        <w:t>越秀区政府、海珠区政府、荔湾区政府、天河区政府、白云区政府、黄埔区政府、花都区政府、番禺区政府、南沙区政府、从化区政府、增城区政府。</w:t>
      </w:r>
    </w:p>
    <w:p>
      <w:pPr>
        <w:spacing w:line="560" w:lineRule="exact"/>
        <w:ind w:firstLine="632" w:firstLineChars="200"/>
        <w:rPr>
          <w:rFonts w:eastAsia="黑体"/>
          <w:szCs w:val="32"/>
        </w:rPr>
      </w:pPr>
      <w:r>
        <w:rPr>
          <w:rFonts w:hAnsi="黑体" w:eastAsia="黑体"/>
          <w:szCs w:val="32"/>
        </w:rPr>
        <w:t>市政府各部门、各直属单位（</w:t>
      </w:r>
      <w:r>
        <w:rPr>
          <w:rFonts w:eastAsia="黑体"/>
          <w:szCs w:val="32"/>
        </w:rPr>
        <w:t>57</w:t>
      </w:r>
      <w:r>
        <w:rPr>
          <w:rFonts w:hAnsi="黑体" w:eastAsia="黑体"/>
          <w:szCs w:val="32"/>
        </w:rPr>
        <w:t>个）：</w:t>
      </w:r>
    </w:p>
    <w:p>
      <w:pPr>
        <w:spacing w:line="540" w:lineRule="exact"/>
        <w:ind w:firstLine="632" w:firstLineChars="200"/>
        <w:rPr>
          <w:rFonts w:ascii="仿宋_GB2312" w:hAnsi="仿宋"/>
          <w:szCs w:val="32"/>
        </w:rPr>
        <w:sectPr>
          <w:pgSz w:w="11906" w:h="16838"/>
          <w:pgMar w:top="2098" w:right="1474" w:bottom="1985" w:left="1588" w:header="851" w:footer="1701" w:gutter="0"/>
          <w:cols w:space="425" w:num="1"/>
          <w:docGrid w:type="linesAndChars" w:linePitch="597" w:charSpace="-849"/>
        </w:sectPr>
      </w:pPr>
      <w:r>
        <w:rPr>
          <w:rFonts w:hint="eastAsia" w:ascii="仿宋_GB2312" w:hAnsi="仿宋"/>
          <w:szCs w:val="32"/>
        </w:rPr>
        <w:t>市府办公厅、市发展改革委、市工业和信息化委、市教育局、市科技创新委、市民族宗教局、市公安局、市监察局、市民政局、市司法局、市财政局、市人力资源和社会保障局、市国土规划委、市环保局、市住房城乡建设委、市交委、市水务局、市农业局、市林业和园林局、市商务委、市文化广电新闻出版局、市卫生计生委、市审计局、市外办、市国资委、市城管委、市工商局、市质监局、市体育局、市安全监管局、市食品药品监督管理局、市统计局、市知识产权局、市旅游局、市来穗人员服务管理局、市侨办、市法制办、市金融局、市城市更</w:t>
      </w:r>
      <w:bookmarkStart w:id="0" w:name="_GoBack"/>
      <w:bookmarkEnd w:id="0"/>
      <w:r>
        <w:rPr>
          <w:rFonts w:hint="eastAsia" w:ascii="仿宋_GB2312" w:hAnsi="仿宋"/>
          <w:szCs w:val="32"/>
        </w:rPr>
        <w:t>新局、市国税局、市地税局、广州开发区管委会、市编办、市政务办、市民防办、市残联、市档案局、市保密局、市协作办、市信访局、市地方志办、市扶贫办、市妇联、广州公共资源交易中心、市气象局、市应急办、广州住房公积金管理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FangSong-Z02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（使用西文字体）">
    <w:altName w:val="方正舒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432F"/>
    <w:rsid w:val="504043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2016-10-13T05:20:00Z</dcterms:created>
  <dc:creator>Administrator</dc:creator>
  <cp:lastModifiedBy>Administrator</cp:lastModifiedBy>
  <dcterms:modified xsi:type="dcterms:W3CDTF">2016-10-13T05:21:48Z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