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kern w:val="1"/>
          <w:sz w:val="32"/>
          <w:szCs w:val="32"/>
          <w:highlight w:val="none"/>
          <w:lang w:val="en-US" w:eastAsia="zh-CN"/>
        </w:rPr>
      </w:pPr>
      <mc:AlternateContent>
        <mc:Choice Requires="wpsCustomData">
          <wpsCustomData:docfieldStart id="0" docfieldname="Content" hidden="false" print="true" readonly="false" index="1"/>
        </mc:Choice>
      </mc:AlternateContent>
      <w:r>
        <w:rPr>
          <w:rFonts w:hint="default" w:ascii="Times New Roman" w:hAnsi="Times New Roman" w:eastAsia="方正黑体_GBK" w:cs="Times New Roman"/>
          <w:color w:val="auto"/>
          <w:kern w:val="1"/>
          <w:sz w:val="32"/>
          <w:szCs w:val="32"/>
          <w:highlight w:val="none"/>
          <w:lang w:val="en-US" w:eastAsia="zh-CN"/>
        </w:rPr>
        <w:t>附件</w:t>
      </w:r>
      <w:r>
        <w:rPr>
          <w:rFonts w:hint="eastAsia" w:ascii="Times New Roman" w:hAnsi="Times New Roman" w:eastAsia="方正黑体_GBK" w:cs="Times New Roman"/>
          <w:color w:val="auto"/>
          <w:kern w:val="1"/>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lang w:val="en-US" w:eastAsia="zh-CN"/>
        </w:rPr>
      </w:pPr>
      <w:r>
        <w:rPr>
          <w:rFonts w:hint="default" w:ascii="Times New Roman" w:hAnsi="Times New Roman" w:eastAsia="方正小标宋_GBK" w:cs="Times New Roman"/>
          <w:color w:val="auto"/>
          <w:kern w:val="1"/>
          <w:sz w:val="44"/>
          <w:szCs w:val="44"/>
          <w:highlight w:val="none"/>
          <w:lang w:val="en-US" w:eastAsia="zh-CN"/>
        </w:rPr>
        <w:t>广州市单纯门诊定点医疗机构2023年度考核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lang w:val="en-US" w:eastAsia="zh-CN"/>
        </w:rPr>
      </w:pPr>
      <w:r>
        <w:rPr>
          <w:rFonts w:hint="default" w:ascii="Times New Roman" w:hAnsi="Times New Roman" w:eastAsia="方正小标宋_GBK" w:cs="Times New Roman"/>
          <w:color w:val="auto"/>
          <w:kern w:val="1"/>
          <w:sz w:val="44"/>
          <w:szCs w:val="44"/>
          <w:highlight w:val="none"/>
          <w:lang w:val="en-US" w:eastAsia="zh-CN"/>
        </w:rPr>
        <w:t>自查自评表</w:t>
      </w:r>
    </w:p>
    <w:tbl>
      <w:tblPr>
        <w:tblStyle w:val="4"/>
        <w:tblW w:w="10245" w:type="dxa"/>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3877"/>
        <w:gridCol w:w="1178"/>
        <w:gridCol w:w="1710"/>
        <w:gridCol w:w="930"/>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机构名称</w:t>
            </w:r>
          </w:p>
        </w:tc>
        <w:tc>
          <w:tcPr>
            <w:tcW w:w="387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 xml:space="preserve"> </w:t>
            </w:r>
          </w:p>
        </w:tc>
        <w:tc>
          <w:tcPr>
            <w:tcW w:w="1178"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机构编码</w:t>
            </w:r>
          </w:p>
        </w:tc>
        <w:tc>
          <w:tcPr>
            <w:tcW w:w="3930" w:type="dxa"/>
            <w:gridSpan w:val="3"/>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机构地址</w:t>
            </w:r>
          </w:p>
        </w:tc>
        <w:tc>
          <w:tcPr>
            <w:tcW w:w="8985" w:type="dxa"/>
            <w:gridSpan w:val="5"/>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default" w:ascii="Times New Roman" w:hAnsi="Times New Roman" w:eastAsia="方正黑体_GBK"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387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c>
          <w:tcPr>
            <w:tcW w:w="1178"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3930" w:type="dxa"/>
            <w:gridSpan w:val="3"/>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_GBK" w:cs="Times New Roman"/>
                <w:i w:val="0"/>
                <w:iCs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自查项目</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自查内容</w:t>
            </w:r>
          </w:p>
        </w:tc>
        <w:tc>
          <w:tcPr>
            <w:tcW w:w="93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4"/>
                <w:szCs w:val="24"/>
                <w:highlight w:val="none"/>
                <w:u w:val="none"/>
                <w:lang w:eastAsia="zh-CN"/>
              </w:rPr>
            </w:pPr>
            <w:r>
              <w:rPr>
                <w:rFonts w:hint="default" w:ascii="Times New Roman" w:hAnsi="Times New Roman" w:eastAsia="方正黑体_GBK" w:cs="Times New Roman"/>
                <w:i w:val="0"/>
                <w:iCs w:val="0"/>
                <w:color w:val="auto"/>
                <w:sz w:val="24"/>
                <w:szCs w:val="24"/>
                <w:highlight w:val="none"/>
                <w:u w:val="none"/>
                <w:lang w:eastAsia="zh-CN"/>
              </w:rPr>
              <w:t>分值</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自查情况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Style w:val="13"/>
                <w:rFonts w:hint="default" w:ascii="Times New Roman" w:hAnsi="Times New Roman" w:cs="Times New Roman"/>
                <w:color w:val="auto"/>
                <w:highlight w:val="none"/>
                <w:lang w:val="en-US" w:eastAsia="zh-CN" w:bidi="ar"/>
              </w:rPr>
              <w:t>组织建设</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建立健全医疗保障服务管理（含负责医疗保障基金使用管理）部门。</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配备2名以上专（兼）职医疗保障管理人员的，其中二级及以上的医疗机构配备专职工作人员的。</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50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Style w:val="13"/>
                <w:rFonts w:hint="default" w:ascii="Times New Roman" w:hAnsi="Times New Roman" w:cs="Times New Roman"/>
                <w:color w:val="auto"/>
                <w:highlight w:val="none"/>
                <w:lang w:val="en-US" w:eastAsia="zh-CN" w:bidi="ar"/>
              </w:rPr>
              <w:t>制度建设</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制定门诊特定病种病历管理、医疗保险档案资料管理、定点医疗机构医保信息系统故障应急预案等制度或措施。</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20/项</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建立医保基金内部管理制度。</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标牌文件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Style w:val="13"/>
                <w:rFonts w:hint="default" w:ascii="Times New Roman" w:hAnsi="Times New Roman" w:cs="Times New Roman"/>
                <w:color w:val="auto"/>
                <w:highlight w:val="none"/>
                <w:lang w:val="en-US" w:eastAsia="zh-CN" w:bidi="ar"/>
              </w:rPr>
              <w:t>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按规定悬挂标牌。</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按要求悬挂统一格式的广州市医疗保障定点医疗机构标牌。</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妥善保存协议年度内协议电子版或纸质版。</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协议年度内协议内容发生变更的，妥善保管《广州市医疗保障定点医疗机构医疗服务范围、项目及结算方式补充协议》协议变更页回执。</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书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color w:val="auto"/>
                <w:highlight w:val="none"/>
                <w:lang w:eastAsia="zh-CN"/>
              </w:rPr>
            </w:pPr>
            <w:r>
              <w:rPr>
                <w:rStyle w:val="13"/>
                <w:rFonts w:hint="eastAsia" w:ascii="Times New Roman" w:hAnsi="Times New Roman" w:cs="Times New Roman"/>
                <w:i w:val="0"/>
                <w:iCs w:val="0"/>
                <w:color w:val="auto"/>
                <w:highlight w:val="none"/>
                <w:lang w:val="en-US" w:eastAsia="zh-CN" w:bidi="ar"/>
              </w:rPr>
              <w:t>培训管理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rFonts w:hint="default" w:ascii="Times New Roman" w:hAnsi="Times New Roman" w:eastAsia="方正仿宋_GBK" w:cs="Times New Roman"/>
                <w:color w:val="auto"/>
                <w:sz w:val="22"/>
                <w:szCs w:val="22"/>
                <w:highlight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按规定组织开展院内</w:t>
            </w:r>
            <w:r>
              <w:rPr>
                <w:rStyle w:val="12"/>
                <w:rFonts w:hint="default" w:ascii="Times New Roman" w:hAnsi="Times New Roman" w:eastAsia="方正仿宋_GBK" w:cs="Times New Roman"/>
                <w:color w:val="auto"/>
                <w:sz w:val="22"/>
                <w:szCs w:val="22"/>
                <w:highlight w:val="none"/>
                <w:lang w:val="en-US" w:eastAsia="zh-CN" w:bidi="ar"/>
              </w:rPr>
              <w:t>医疗保险相关政策培训的。</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50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rFonts w:hint="default" w:ascii="Times New Roman" w:hAnsi="Times New Roman" w:eastAsia="方正仿宋_GBK" w:cs="Times New Roman"/>
                <w:color w:val="auto"/>
                <w:sz w:val="22"/>
                <w:szCs w:val="22"/>
                <w:highlight w:val="none"/>
                <w:lang w:val="en-US" w:eastAsia="zh-CN" w:bidi="ar"/>
              </w:rPr>
            </w:pPr>
            <w:r>
              <w:rPr>
                <w:rStyle w:val="12"/>
                <w:rFonts w:hint="default" w:ascii="Times New Roman" w:hAnsi="Times New Roman" w:eastAsia="方正仿宋_GBK" w:cs="Times New Roman"/>
                <w:color w:val="auto"/>
                <w:sz w:val="22"/>
                <w:szCs w:val="22"/>
                <w:highlight w:val="none"/>
                <w:lang w:val="en-US" w:eastAsia="zh-CN" w:bidi="ar"/>
              </w:rPr>
              <w:t>制定详细、具体的医疗保险政策培训计划并实施。</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rFonts w:hint="default" w:ascii="Times New Roman" w:hAnsi="Times New Roman" w:eastAsia="方正仿宋_GBK" w:cs="Times New Roman"/>
                <w:color w:val="auto"/>
                <w:sz w:val="22"/>
                <w:szCs w:val="22"/>
                <w:highlight w:val="none"/>
                <w:lang w:val="en-US" w:eastAsia="zh-CN" w:bidi="ar"/>
              </w:rPr>
            </w:pPr>
            <w:r>
              <w:rPr>
                <w:rStyle w:val="12"/>
                <w:rFonts w:hint="default" w:ascii="Times New Roman" w:hAnsi="Times New Roman" w:eastAsia="方正仿宋_GBK" w:cs="Times New Roman"/>
                <w:color w:val="auto"/>
                <w:sz w:val="22"/>
                <w:szCs w:val="22"/>
                <w:highlight w:val="none"/>
                <w:lang w:val="en-US" w:eastAsia="zh-CN" w:bidi="ar"/>
              </w:rPr>
              <w:t>编制院内培训教材</w:t>
            </w:r>
            <w:r>
              <w:rPr>
                <w:rStyle w:val="12"/>
                <w:rFonts w:hint="eastAsia" w:eastAsia="方正仿宋_GBK" w:cs="Times New Roman"/>
                <w:color w:val="auto"/>
                <w:sz w:val="22"/>
                <w:szCs w:val="22"/>
                <w:highlight w:val="none"/>
                <w:lang w:val="en-US" w:eastAsia="zh-CN" w:bidi="ar"/>
              </w:rPr>
              <w:t>。</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4"/>
                <w:rFonts w:hint="default" w:ascii="Times New Roman" w:hAnsi="Times New Roman" w:eastAsia="方正仿宋_GBK" w:cs="Times New Roman"/>
                <w:color w:val="auto"/>
                <w:sz w:val="22"/>
                <w:szCs w:val="22"/>
                <w:highlight w:val="none"/>
                <w:lang w:val="en-US" w:eastAsia="zh-CN" w:bidi="ar"/>
              </w:rPr>
            </w:pPr>
            <w:r>
              <w:rPr>
                <w:rStyle w:val="12"/>
                <w:rFonts w:hint="default" w:ascii="Times New Roman" w:hAnsi="Times New Roman" w:eastAsia="方正仿宋_GBK" w:cs="Times New Roman"/>
                <w:color w:val="auto"/>
                <w:sz w:val="22"/>
                <w:szCs w:val="22"/>
                <w:highlight w:val="none"/>
                <w:lang w:val="en-US" w:eastAsia="zh-CN" w:bidi="ar"/>
              </w:rPr>
              <w:t>院内培训教材</w:t>
            </w:r>
            <w:r>
              <w:rPr>
                <w:rStyle w:val="12"/>
                <w:rFonts w:hint="eastAsia" w:eastAsia="方正仿宋_GBK" w:cs="Times New Roman"/>
                <w:color w:val="auto"/>
                <w:sz w:val="22"/>
                <w:szCs w:val="22"/>
                <w:highlight w:val="none"/>
                <w:lang w:val="en-US" w:eastAsia="zh-CN" w:bidi="ar"/>
              </w:rPr>
              <w:t>内容编制准确。</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w:t>
            </w:r>
            <w:r>
              <w:rPr>
                <w:rFonts w:hint="eastAsia" w:eastAsia="方正仿宋_GBK" w:cs="Times New Roman"/>
                <w:i w:val="0"/>
                <w:iCs w:val="0"/>
                <w:color w:val="auto"/>
                <w:kern w:val="0"/>
                <w:sz w:val="22"/>
                <w:szCs w:val="22"/>
                <w:highlight w:val="none"/>
                <w:u w:val="none"/>
                <w:lang w:val="en-US" w:eastAsia="zh-CN" w:bidi="ar"/>
              </w:rPr>
              <w:t>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咨询投诉</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Style w:val="13"/>
                <w:rFonts w:hint="default" w:ascii="Times New Roman" w:hAnsi="Times New Roman" w:cs="Times New Roman"/>
                <w:color w:val="auto"/>
                <w:highlight w:val="none"/>
                <w:lang w:val="en-US" w:eastAsia="zh-CN" w:bidi="ar"/>
              </w:rPr>
              <w:t>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设立医疗保险咨询服务台或张贴就医流程图及在院区显著位置设置</w:t>
            </w:r>
            <w:r>
              <w:rPr>
                <w:rFonts w:hint="eastAsia" w:ascii="方正仿宋_GBK" w:hAnsi="方正仿宋_GBK" w:eastAsia="方正仿宋_GBK" w:cs="方正仿宋_GBK"/>
                <w:color w:val="auto"/>
                <w:sz w:val="22"/>
                <w:szCs w:val="22"/>
                <w:highlight w:val="none"/>
                <w:lang w:eastAsia="zh-CN"/>
              </w:rPr>
              <w:t>“</w:t>
            </w:r>
            <w:r>
              <w:rPr>
                <w:rStyle w:val="14"/>
                <w:rFonts w:hint="default" w:ascii="Times New Roman" w:hAnsi="Times New Roman" w:cs="Times New Roman"/>
                <w:color w:val="auto"/>
                <w:sz w:val="22"/>
                <w:szCs w:val="22"/>
                <w:highlight w:val="none"/>
                <w:lang w:val="en-US" w:eastAsia="zh-CN" w:bidi="ar"/>
              </w:rPr>
              <w:t>社会保障医疗服务宣传栏</w:t>
            </w:r>
            <w:r>
              <w:rPr>
                <w:rFonts w:hint="eastAsia" w:ascii="方正仿宋_GBK" w:hAnsi="方正仿宋_GBK" w:eastAsia="方正仿宋_GBK" w:cs="方正仿宋_GBK"/>
                <w:color w:val="auto"/>
                <w:sz w:val="22"/>
                <w:szCs w:val="22"/>
                <w:highlight w:val="none"/>
                <w:lang w:eastAsia="zh-CN"/>
              </w:rPr>
              <w:t>”</w:t>
            </w:r>
            <w:r>
              <w:rPr>
                <w:rStyle w:val="14"/>
                <w:rFonts w:hint="default" w:ascii="Times New Roman" w:hAnsi="Times New Roman" w:cs="Times New Roman"/>
                <w:color w:val="auto"/>
                <w:sz w:val="22"/>
                <w:szCs w:val="22"/>
                <w:highlight w:val="none"/>
                <w:lang w:val="en-US" w:eastAsia="zh-CN" w:bidi="ar"/>
              </w:rPr>
              <w:t>。</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20/项</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按规定设置异地就医结算专窗或悬挂明显专窗标识。</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为参保人提供基本医疗保险和生育保险药品目录、医疗服务项目目录、医用耗材目录查询渠道。</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40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在医疗机构显著位置采取适当的方式公开投诉、意见收集渠道。</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50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及时（超过</w:t>
            </w:r>
            <w:r>
              <w:rPr>
                <w:rStyle w:val="15"/>
                <w:rFonts w:hint="default" w:ascii="Times New Roman" w:hAnsi="Times New Roman" w:eastAsia="方正仿宋_GBK" w:cs="Times New Roman"/>
                <w:color w:val="auto"/>
                <w:sz w:val="22"/>
                <w:szCs w:val="22"/>
                <w:highlight w:val="none"/>
                <w:lang w:val="en-US" w:eastAsia="zh-CN" w:bidi="ar"/>
              </w:rPr>
              <w:t>5</w:t>
            </w:r>
            <w:r>
              <w:rPr>
                <w:rStyle w:val="14"/>
                <w:rFonts w:hint="default" w:ascii="Times New Roman" w:hAnsi="Times New Roman" w:cs="Times New Roman"/>
                <w:color w:val="auto"/>
                <w:sz w:val="22"/>
                <w:szCs w:val="22"/>
                <w:highlight w:val="none"/>
                <w:lang w:val="en-US" w:eastAsia="zh-CN" w:bidi="ar"/>
              </w:rPr>
              <w:t>个工作日的）处理医疗保险投诉箱内的举报信件。</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lang w:val="en-US" w:eastAsia="zh-CN"/>
              </w:rPr>
              <w:t>20/例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Style w:val="13"/>
                <w:rFonts w:hint="default" w:ascii="Times New Roman" w:hAnsi="Times New Roman" w:cs="Times New Roman"/>
                <w:color w:val="auto"/>
                <w:highlight w:val="none"/>
                <w:lang w:val="en-US" w:eastAsia="zh-CN" w:bidi="ar"/>
              </w:rPr>
              <w:t>医保</w:t>
            </w:r>
            <w:r>
              <w:rPr>
                <w:rStyle w:val="15"/>
                <w:rFonts w:hint="default" w:ascii="Times New Roman" w:hAnsi="Times New Roman" w:eastAsia="宋体" w:cs="Times New Roman"/>
                <w:color w:val="auto"/>
                <w:highlight w:val="none"/>
                <w:lang w:val="en-US" w:eastAsia="zh-CN" w:bidi="ar"/>
              </w:rPr>
              <w:t>POS</w:t>
            </w:r>
            <w:r>
              <w:rPr>
                <w:rStyle w:val="16"/>
                <w:rFonts w:hint="default" w:ascii="Times New Roman" w:hAnsi="Times New Roman" w:cs="Times New Roman"/>
                <w:color w:val="auto"/>
                <w:highlight w:val="none"/>
                <w:lang w:val="en-US" w:eastAsia="zh-CN" w:bidi="ar"/>
              </w:rPr>
              <w:t>机管理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合理配备使用医疗保险专用</w:t>
            </w:r>
            <w:r>
              <w:rPr>
                <w:rStyle w:val="15"/>
                <w:rFonts w:hint="default" w:ascii="Times New Roman" w:hAnsi="Times New Roman" w:eastAsia="方正仿宋_GBK" w:cs="Times New Roman"/>
                <w:color w:val="auto"/>
                <w:sz w:val="22"/>
                <w:szCs w:val="22"/>
                <w:highlight w:val="none"/>
                <w:lang w:val="en-US" w:eastAsia="zh-CN" w:bidi="ar"/>
              </w:rPr>
              <w:t>POS</w:t>
            </w:r>
            <w:r>
              <w:rPr>
                <w:rStyle w:val="14"/>
                <w:rFonts w:hint="default" w:ascii="Times New Roman" w:hAnsi="Times New Roman" w:cs="Times New Roman"/>
                <w:color w:val="auto"/>
                <w:sz w:val="22"/>
                <w:szCs w:val="22"/>
                <w:highlight w:val="none"/>
                <w:lang w:val="en-US" w:eastAsia="zh-CN" w:bidi="ar"/>
              </w:rPr>
              <w:t>机，弃置不使用的或新增及时向医保部门报备。</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10/台</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Style w:val="14"/>
                <w:rFonts w:hint="default" w:ascii="Times New Roman" w:hAnsi="Times New Roman" w:cs="Times New Roman"/>
                <w:color w:val="auto"/>
                <w:sz w:val="22"/>
                <w:szCs w:val="22"/>
                <w:highlight w:val="none"/>
                <w:lang w:val="en-US" w:eastAsia="zh-CN" w:bidi="ar"/>
              </w:rPr>
              <w:t>妥善保管本院医保</w:t>
            </w:r>
            <w:r>
              <w:rPr>
                <w:rStyle w:val="15"/>
                <w:rFonts w:hint="default" w:ascii="Times New Roman" w:hAnsi="Times New Roman" w:eastAsia="方正仿宋_GBK" w:cs="Times New Roman"/>
                <w:color w:val="auto"/>
                <w:sz w:val="22"/>
                <w:szCs w:val="22"/>
                <w:highlight w:val="none"/>
                <w:lang w:val="en-US" w:eastAsia="zh-CN" w:bidi="ar"/>
              </w:rPr>
              <w:t>POS</w:t>
            </w:r>
            <w:r>
              <w:rPr>
                <w:rStyle w:val="14"/>
                <w:rFonts w:hint="default" w:ascii="Times New Roman" w:hAnsi="Times New Roman" w:cs="Times New Roman"/>
                <w:color w:val="auto"/>
                <w:sz w:val="22"/>
                <w:szCs w:val="22"/>
                <w:highlight w:val="none"/>
                <w:lang w:val="en-US" w:eastAsia="zh-CN" w:bidi="ar"/>
              </w:rPr>
              <w:t>机信息登记表。</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2"/>
                <w:szCs w:val="22"/>
                <w:highlight w:val="none"/>
                <w:u w:val="none"/>
                <w:lang w:val="en-US" w:eastAsia="zh-CN" w:bidi="ar"/>
              </w:rPr>
            </w:pPr>
            <w:r>
              <w:rPr>
                <w:rFonts w:hint="default" w:ascii="Times New Roman" w:hAnsi="Times New Roman" w:eastAsia="方正黑体_GBK" w:cs="Times New Roman"/>
                <w:i w:val="0"/>
                <w:iCs w:val="0"/>
                <w:color w:val="auto"/>
                <w:kern w:val="0"/>
                <w:sz w:val="22"/>
                <w:szCs w:val="22"/>
                <w:highlight w:val="none"/>
                <w:u w:val="none"/>
                <w:lang w:val="en-US" w:eastAsia="zh-CN" w:bidi="ar"/>
              </w:rPr>
              <w:t>基础信息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sz w:val="22"/>
                <w:szCs w:val="22"/>
                <w:highlight w:val="none"/>
                <w:u w:val="none"/>
                <w:lang w:val="en-US"/>
              </w:rPr>
            </w:pPr>
            <w:r>
              <w:rPr>
                <w:rFonts w:hint="default" w:ascii="Times New Roman" w:hAnsi="Times New Roman" w:eastAsia="方正仿宋_GBK" w:cs="Times New Roman"/>
                <w:i w:val="0"/>
                <w:iCs w:val="0"/>
                <w:color w:val="auto"/>
                <w:kern w:val="0"/>
                <w:sz w:val="22"/>
                <w:szCs w:val="22"/>
                <w:highlight w:val="none"/>
                <w:u w:val="none"/>
                <w:lang w:val="en-US" w:eastAsia="zh-CN" w:bidi="ar"/>
              </w:rPr>
              <w:t>准确维护医疗保障基础信息数据（含联系人等）。</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20/项</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准确维护电子签约系统当年度签署的协议书中乙方、法定代表人、统一社会信用代码及地址。</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20</w:t>
            </w:r>
            <w:r>
              <w:rPr>
                <w:rFonts w:hint="default" w:ascii="Times New Roman" w:hAnsi="Times New Roman" w:eastAsia="方正仿宋_GBK" w:cs="Times New Roman"/>
                <w:i w:val="0"/>
                <w:iCs w:val="0"/>
                <w:color w:val="auto"/>
                <w:sz w:val="22"/>
                <w:szCs w:val="22"/>
                <w:highlight w:val="none"/>
                <w:u w:val="none"/>
                <w:lang w:val="en-US" w:eastAsia="zh-CN"/>
              </w:rPr>
              <w:t>/项</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建立医保医师个人档案并准确维护档案登记信息。</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及时、准确维护国家医保局数据库医保医师、护士信息，赋码率达100%。</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药品管理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公开常用药品价格标准。</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收费管理</w:t>
            </w: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医疗服务价格按规定公开（参加口腔种植价格专项治理的医疗机构重点公示相关项目价格和调控总价）。</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30</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按照有关部门有关规定执行药品售价、医疗服务项目和价格。</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10/例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完整、准确打印收费票据，主动及时为参保人如实提供标准格式的门诊费用清单和财税部门专用票据。</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lang w:val="en-US" w:eastAsia="zh-CN"/>
              </w:rPr>
              <w:t>10/例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妥善保管参保人就医的财税部门专用票据存根联。</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lang w:val="en-US" w:eastAsia="zh-CN"/>
              </w:rPr>
              <w:t>20/例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260"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p>
        </w:tc>
        <w:tc>
          <w:tcPr>
            <w:tcW w:w="676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收费项目与实际开展情况相符。</w:t>
            </w:r>
          </w:p>
        </w:tc>
        <w:tc>
          <w:tcPr>
            <w:tcW w:w="93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auto"/>
                <w:kern w:val="0"/>
                <w:sz w:val="21"/>
                <w:szCs w:val="21"/>
                <w:highlight w:val="none"/>
                <w:u w:val="none"/>
                <w:lang w:val="en-US" w:eastAsia="zh-CN" w:bidi="ar"/>
              </w:rPr>
            </w:pPr>
            <w:r>
              <w:rPr>
                <w:rFonts w:hint="default" w:ascii="Times New Roman" w:hAnsi="Times New Roman" w:eastAsia="方正仿宋_GBK" w:cs="Times New Roman"/>
                <w:i w:val="0"/>
                <w:iCs w:val="0"/>
                <w:color w:val="auto"/>
                <w:sz w:val="21"/>
                <w:szCs w:val="21"/>
                <w:highlight w:val="none"/>
                <w:u w:val="none"/>
                <w:lang w:val="en-US" w:eastAsia="zh-CN"/>
              </w:rPr>
              <w:t>20/例</w:t>
            </w:r>
          </w:p>
        </w:tc>
        <w:tc>
          <w:tcPr>
            <w:tcW w:w="12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sz w:val="22"/>
                <w:szCs w:val="22"/>
                <w:highlight w:val="none"/>
                <w:u w:val="none"/>
              </w:rPr>
              <w:sym w:font="Wingdings 2" w:char="00A3"/>
            </w:r>
            <w:r>
              <w:rPr>
                <w:rFonts w:hint="default" w:ascii="Times New Roman" w:hAnsi="Times New Roman" w:eastAsia="方正仿宋_GBK" w:cs="Times New Roman"/>
                <w:i w:val="0"/>
                <w:iCs w:val="0"/>
                <w:color w:val="auto"/>
                <w:sz w:val="22"/>
                <w:szCs w:val="22"/>
                <w:highlight w:val="none"/>
                <w:u w:val="none"/>
                <w:lang w:eastAsia="zh-CN"/>
              </w:rPr>
              <w:t>是</w:t>
            </w:r>
            <w:r>
              <w:rPr>
                <w:rFonts w:hint="default" w:ascii="Times New Roman" w:hAnsi="Times New Roman" w:eastAsia="方正仿宋_GBK" w:cs="Times New Roman"/>
                <w:i w:val="0"/>
                <w:iCs w:val="0"/>
                <w:color w:val="auto"/>
                <w:sz w:val="22"/>
                <w:szCs w:val="22"/>
                <w:highlight w:val="none"/>
                <w:u w:val="none"/>
                <w:lang w:val="en-US" w:eastAsia="zh-CN"/>
              </w:rPr>
              <w:t xml:space="preserve"> </w:t>
            </w:r>
            <w:r>
              <w:rPr>
                <w:rFonts w:hint="default" w:ascii="Times New Roman" w:hAnsi="Times New Roman" w:eastAsia="方正仿宋_GBK" w:cs="Times New Roman"/>
                <w:i w:val="0"/>
                <w:iCs w:val="0"/>
                <w:color w:val="auto"/>
                <w:sz w:val="22"/>
                <w:szCs w:val="22"/>
                <w:highlight w:val="none"/>
                <w:u w:val="none"/>
                <w:lang w:val="en-US" w:eastAsia="zh-CN"/>
              </w:rPr>
              <w:sym w:font="Wingdings 2" w:char="00A3"/>
            </w:r>
            <w:r>
              <w:rPr>
                <w:rFonts w:hint="default" w:ascii="Times New Roman" w:hAnsi="Times New Roman" w:eastAsia="方正仿宋_GBK" w:cs="Times New Roman"/>
                <w:i w:val="0"/>
                <w:iCs w:val="0"/>
                <w:color w:val="auto"/>
                <w:sz w:val="22"/>
                <w:szCs w:val="22"/>
                <w:highlight w:val="none"/>
                <w:u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自评报告</w:t>
            </w:r>
          </w:p>
        </w:tc>
        <w:tc>
          <w:tcPr>
            <w:tcW w:w="8985" w:type="dxa"/>
            <w:gridSpan w:val="5"/>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126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2"/>
                <w:szCs w:val="22"/>
                <w:highlight w:val="none"/>
                <w:u w:val="none"/>
              </w:rPr>
            </w:pPr>
            <w:r>
              <w:rPr>
                <w:rFonts w:hint="default" w:ascii="Times New Roman" w:hAnsi="Times New Roman" w:eastAsia="方正黑体_GBK" w:cs="Times New Roman"/>
                <w:i w:val="0"/>
                <w:iCs w:val="0"/>
                <w:color w:val="auto"/>
                <w:kern w:val="0"/>
                <w:sz w:val="22"/>
                <w:szCs w:val="22"/>
                <w:highlight w:val="none"/>
                <w:u w:val="none"/>
                <w:lang w:val="en-US" w:eastAsia="zh-CN" w:bidi="ar"/>
              </w:rPr>
              <w:t>机构确认</w:t>
            </w:r>
          </w:p>
        </w:tc>
        <w:tc>
          <w:tcPr>
            <w:tcW w:w="8985" w:type="dxa"/>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以上自查情况属实：</w:t>
            </w:r>
            <w:r>
              <w:rPr>
                <w:rFonts w:hint="default" w:ascii="Times New Roman" w:hAnsi="Times New Roman" w:eastAsia="Wingdings 2" w:cs="Times New Roman"/>
                <w:i w:val="0"/>
                <w:iCs w:val="0"/>
                <w:color w:val="auto"/>
                <w:kern w:val="0"/>
                <w:sz w:val="22"/>
                <w:szCs w:val="22"/>
                <w:highlight w:val="none"/>
                <w:u w:val="none"/>
                <w:lang w:val="en-US" w:eastAsia="zh-CN" w:bidi="ar"/>
              </w:rPr>
              <w:sym w:font="Wingdings 2" w:char="00A3"/>
            </w:r>
            <w:r>
              <w:rPr>
                <w:rStyle w:val="14"/>
                <w:rFonts w:hint="default" w:ascii="Times New Roman" w:hAnsi="Times New Roman" w:cs="Times New Roman"/>
                <w:color w:val="auto"/>
                <w:highlight w:val="none"/>
                <w:lang w:val="en-US" w:eastAsia="zh-CN" w:bidi="ar"/>
              </w:rPr>
              <w:t xml:space="preserve">是   </w:t>
            </w:r>
            <w:r>
              <w:rPr>
                <w:rStyle w:val="14"/>
                <w:rFonts w:hint="default" w:ascii="Times New Roman" w:hAnsi="Times New Roman" w:eastAsia="Wingdings 2" w:cs="Times New Roman"/>
                <w:i w:val="0"/>
                <w:iCs w:val="0"/>
                <w:color w:val="auto"/>
                <w:kern w:val="0"/>
                <w:sz w:val="22"/>
                <w:szCs w:val="22"/>
                <w:highlight w:val="none"/>
                <w:u w:val="none"/>
                <w:lang w:val="en-US" w:eastAsia="zh-CN" w:bidi="ar"/>
              </w:rPr>
              <w:sym w:font="Wingdings 2" w:char="00A3"/>
            </w:r>
            <w:r>
              <w:rPr>
                <w:rStyle w:val="14"/>
                <w:rFonts w:hint="default" w:ascii="Times New Roman" w:hAnsi="Times New Roman" w:cs="Times New Roman"/>
                <w:color w:val="auto"/>
                <w:highlight w:val="none"/>
                <w:lang w:val="en-US" w:eastAsia="zh-CN" w:bidi="ar"/>
              </w:rPr>
              <w:t>否</w:t>
            </w:r>
            <w:r>
              <w:rPr>
                <w:rStyle w:val="14"/>
                <w:rFonts w:hint="default" w:ascii="Times New Roman" w:hAnsi="Times New Roman" w:cs="Times New Roman"/>
                <w:color w:val="auto"/>
                <w:highlight w:val="none"/>
                <w:lang w:val="en-US" w:eastAsia="zh-CN" w:bidi="ar"/>
              </w:rPr>
              <w:br w:type="textWrapping"/>
            </w:r>
            <w:r>
              <w:rPr>
                <w:rStyle w:val="14"/>
                <w:rFonts w:hint="default" w:ascii="Times New Roman" w:hAnsi="Times New Roman" w:cs="Times New Roman"/>
                <w:color w:val="auto"/>
                <w:highlight w:val="none"/>
                <w:lang w:val="en-US" w:eastAsia="zh-CN" w:bidi="ar"/>
              </w:rPr>
              <w:br w:type="textWrapping"/>
            </w:r>
            <w:r>
              <w:rPr>
                <w:rStyle w:val="14"/>
                <w:rFonts w:hint="default" w:ascii="Times New Roman" w:hAnsi="Times New Roman" w:cs="Times New Roman"/>
                <w:color w:val="auto"/>
                <w:highlight w:val="none"/>
                <w:lang w:val="en-US" w:eastAsia="zh-CN" w:bidi="ar"/>
              </w:rPr>
              <w:t xml:space="preserve">                                                 （盖章）</w:t>
            </w:r>
            <w:r>
              <w:rPr>
                <w:rStyle w:val="14"/>
                <w:rFonts w:hint="default" w:ascii="Times New Roman" w:hAnsi="Times New Roman" w:cs="Times New Roman"/>
                <w:color w:val="auto"/>
                <w:highlight w:val="none"/>
                <w:lang w:val="en-US" w:eastAsia="zh-CN" w:bidi="ar"/>
              </w:rPr>
              <w:br w:type="textWrapping"/>
            </w:r>
            <w:r>
              <w:rPr>
                <w:rStyle w:val="14"/>
                <w:rFonts w:hint="default" w:ascii="Times New Roman" w:hAnsi="Times New Roman" w:cs="Times New Roman"/>
                <w:color w:val="auto"/>
                <w:highlight w:val="none"/>
                <w:lang w:val="en-US" w:eastAsia="zh-CN" w:bidi="ar"/>
              </w:rPr>
              <w:br w:type="textWrapping"/>
            </w:r>
            <w:r>
              <w:rPr>
                <w:rStyle w:val="14"/>
                <w:rFonts w:hint="default" w:ascii="Times New Roman" w:hAnsi="Times New Roman" w:cs="Times New Roman"/>
                <w:color w:val="auto"/>
                <w:highlight w:val="none"/>
                <w:lang w:val="en-US" w:eastAsia="zh-CN" w:bidi="ar"/>
              </w:rPr>
              <w:t>机构负责人签名：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10245"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填写说明：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1.如实在以上各项具体内容后的</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sym w:font="Wingdings 2" w:char="00A3"/>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内打</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2.请勿缺项，如根据本院情况无法填写，请在</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自评报告</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一栏补充说明；自查存在问题的须立即做好整改，并在</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自评报告</w:t>
            </w:r>
            <w:r>
              <w:rPr>
                <w:rFonts w:hint="eastAsia" w:ascii="方正仿宋_GBK" w:hAnsi="方正仿宋_GBK" w:eastAsia="方正仿宋_GBK" w:cs="方正仿宋_GBK"/>
                <w:color w:val="auto"/>
                <w:sz w:val="32"/>
                <w:szCs w:val="32"/>
                <w:highlight w:val="none"/>
                <w:lang w:eastAsia="zh-CN"/>
              </w:rPr>
              <w:t>”</w:t>
            </w:r>
            <w:r>
              <w:rPr>
                <w:rFonts w:hint="default" w:ascii="Times New Roman" w:hAnsi="Times New Roman" w:eastAsia="方正仿宋_GBK" w:cs="Times New Roman"/>
                <w:i w:val="0"/>
                <w:iCs w:val="0"/>
                <w:color w:val="auto"/>
                <w:kern w:val="0"/>
                <w:sz w:val="22"/>
                <w:szCs w:val="22"/>
                <w:highlight w:val="none"/>
                <w:u w:val="none"/>
                <w:lang w:val="en-US" w:eastAsia="zh-CN" w:bidi="ar"/>
              </w:rPr>
              <w:t>一栏说明整改情况。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3.请于2023年11月30日前将自评表送至所属管理区的医保分中心，逾期视为未不配合考核工作，年度考核系数按全市最低值计算。自评与实际情况不符的，纳入本次年度考核扣分。</w:t>
            </w:r>
          </w:p>
        </w:tc>
      </w:tr>
      <mc:AlternateContent>
        <mc:Choice Requires="wpsCustomData">
          <wpsCustomData:docfieldEnd id="0"/>
        </mc:Choice>
      </mc:AlternateContent>
    </w:tbl>
    <w:p>
      <w:pPr>
        <w:ind w:right="277" w:rightChars="138"/>
        <w:jc w:val="left"/>
        <w:rPr>
          <w:rFonts w:hint="eastAsia" w:ascii="Times New Roman" w:hAnsi="Times New Roman" w:eastAsia="方正仿宋_GBK" w:cs="Times New Roman"/>
          <w:sz w:val="32"/>
          <w:szCs w:val="32"/>
          <w:lang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FC76582E"/>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6FF9DFB"/>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2F5C184"/>
    <w:rsid w:val="261A0BB1"/>
    <w:rsid w:val="26C92E7D"/>
    <w:rsid w:val="27572004"/>
    <w:rsid w:val="27B34EFE"/>
    <w:rsid w:val="28311117"/>
    <w:rsid w:val="2A142034"/>
    <w:rsid w:val="2ECF73B9"/>
    <w:rsid w:val="2ED324B8"/>
    <w:rsid w:val="2FFB5508"/>
    <w:rsid w:val="30E83936"/>
    <w:rsid w:val="34BC602D"/>
    <w:rsid w:val="350C6B11"/>
    <w:rsid w:val="37C44C68"/>
    <w:rsid w:val="37C911D3"/>
    <w:rsid w:val="37DC622A"/>
    <w:rsid w:val="388A690E"/>
    <w:rsid w:val="3AC31BB0"/>
    <w:rsid w:val="3C5E441C"/>
    <w:rsid w:val="3E2B1FEB"/>
    <w:rsid w:val="3F1125E5"/>
    <w:rsid w:val="3F6F022F"/>
    <w:rsid w:val="3FEE6163"/>
    <w:rsid w:val="40676225"/>
    <w:rsid w:val="4B605D8C"/>
    <w:rsid w:val="4B661184"/>
    <w:rsid w:val="4BF15866"/>
    <w:rsid w:val="4F7773D4"/>
    <w:rsid w:val="4FBF1F5C"/>
    <w:rsid w:val="4FBF3127"/>
    <w:rsid w:val="502E554F"/>
    <w:rsid w:val="50543F0B"/>
    <w:rsid w:val="58E44452"/>
    <w:rsid w:val="5907521B"/>
    <w:rsid w:val="5B2079E6"/>
    <w:rsid w:val="5C896682"/>
    <w:rsid w:val="5D163EF1"/>
    <w:rsid w:val="5EB940A8"/>
    <w:rsid w:val="5FBC2FD8"/>
    <w:rsid w:val="5FFC2D46"/>
    <w:rsid w:val="602C70DB"/>
    <w:rsid w:val="607E5BEE"/>
    <w:rsid w:val="610C6434"/>
    <w:rsid w:val="62350642"/>
    <w:rsid w:val="625E0503"/>
    <w:rsid w:val="62C67235"/>
    <w:rsid w:val="63FEA8DE"/>
    <w:rsid w:val="684302C3"/>
    <w:rsid w:val="6A530919"/>
    <w:rsid w:val="6C3E612B"/>
    <w:rsid w:val="6F37B96B"/>
    <w:rsid w:val="6F855BD4"/>
    <w:rsid w:val="6F9F52A1"/>
    <w:rsid w:val="6FFE5168"/>
    <w:rsid w:val="6FFF3FBB"/>
    <w:rsid w:val="71830F1B"/>
    <w:rsid w:val="73275A2C"/>
    <w:rsid w:val="73B560E0"/>
    <w:rsid w:val="73EF10E2"/>
    <w:rsid w:val="74D47615"/>
    <w:rsid w:val="756F5065"/>
    <w:rsid w:val="75BB4E5F"/>
    <w:rsid w:val="75BB5FC6"/>
    <w:rsid w:val="760060A7"/>
    <w:rsid w:val="79E71462"/>
    <w:rsid w:val="7B3F3CCF"/>
    <w:rsid w:val="7B865683"/>
    <w:rsid w:val="7BB80C84"/>
    <w:rsid w:val="7C8606CC"/>
    <w:rsid w:val="7FCA50C4"/>
    <w:rsid w:val="7FDDC134"/>
    <w:rsid w:val="7FF67F0E"/>
    <w:rsid w:val="9EEF9903"/>
    <w:rsid w:val="B77FB95E"/>
    <w:rsid w:val="BAFA455F"/>
    <w:rsid w:val="BBEF7B1A"/>
    <w:rsid w:val="BE7DF428"/>
    <w:rsid w:val="BFDF29D3"/>
    <w:rsid w:val="C7FE4C4F"/>
    <w:rsid w:val="DED50845"/>
    <w:rsid w:val="DEEE5A54"/>
    <w:rsid w:val="E75F34D7"/>
    <w:rsid w:val="E9BB4649"/>
    <w:rsid w:val="EBEFFF8C"/>
    <w:rsid w:val="F5ABE9F5"/>
    <w:rsid w:val="FBFEC0CC"/>
    <w:rsid w:val="FC76582E"/>
    <w:rsid w:val="FEDF85F3"/>
    <w:rsid w:val="FFFEBB49"/>
    <w:rsid w:val="FFFF5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101"/>
    <w:basedOn w:val="5"/>
    <w:qFormat/>
    <w:uiPriority w:val="0"/>
    <w:rPr>
      <w:rFonts w:hint="eastAsia" w:ascii="方正黑体_GBK" w:hAnsi="方正黑体_GBK" w:eastAsia="方正黑体_GBK" w:cs="方正黑体_GBK"/>
      <w:color w:val="000000"/>
      <w:sz w:val="22"/>
      <w:szCs w:val="22"/>
      <w:u w:val="none"/>
    </w:rPr>
  </w:style>
  <w:style w:type="character" w:customStyle="1" w:styleId="14">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15">
    <w:name w:val="font31"/>
    <w:basedOn w:val="5"/>
    <w:qFormat/>
    <w:uiPriority w:val="0"/>
    <w:rPr>
      <w:rFonts w:hint="default" w:ascii="Times New Roman" w:hAnsi="Times New Roman" w:eastAsia="宋体" w:cs="Times New Roman"/>
      <w:color w:val="000000"/>
      <w:sz w:val="22"/>
      <w:szCs w:val="22"/>
      <w:u w:val="none"/>
    </w:rPr>
  </w:style>
  <w:style w:type="character" w:customStyle="1" w:styleId="16">
    <w:name w:val="font11"/>
    <w:basedOn w:val="5"/>
    <w:qFormat/>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7</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2023-06-10T09:18:00Z</dcterms:created>
  <dc:creator>沈翠兰</dc:creator>
  <cp:lastModifiedBy>wilkins</cp:lastModifiedBy>
  <dcterms:modified xsi:type="dcterms:W3CDTF">2023-10-12T10:36:25Z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D47F8431BE7DAF6F1DAA246598D85D64</vt:lpwstr>
  </property>
</Properties>
</file>