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outlineLvl w:val="1"/>
        <w:rPr>
          <w:rFonts w:ascii="Calibri" w:hAnsi="Calibri" w:eastAsia="宋体"/>
          <w:b/>
          <w:color w:val="auto"/>
          <w:sz w:val="32"/>
        </w:rPr>
      </w:pPr>
      <w:r>
        <w:rPr>
          <w:rFonts w:hint="eastAsia" w:ascii="Calibri" w:hAnsi="Calibri" w:eastAsia="宋体"/>
          <w:b/>
          <w:color w:val="auto"/>
          <w:sz w:val="32"/>
        </w:rPr>
        <w:t>附件</w:t>
      </w:r>
      <w:r>
        <w:rPr>
          <w:rFonts w:ascii="Calibri" w:hAnsi="Calibri" w:eastAsia="宋体"/>
          <w:b/>
          <w:color w:val="auto"/>
          <w:sz w:val="32"/>
        </w:rPr>
        <w:t>2</w:t>
      </w:r>
    </w:p>
    <w:p>
      <w:pPr>
        <w:jc w:val="center"/>
        <w:rPr>
          <w:rFonts w:ascii="Calibri" w:hAnsi="Calibri" w:eastAsia="宋体"/>
          <w:b/>
          <w:color w:val="auto"/>
          <w:sz w:val="44"/>
        </w:rPr>
      </w:pPr>
      <w:r>
        <w:rPr>
          <w:rFonts w:hint="eastAsia" w:ascii="Calibri" w:hAnsi="Calibri" w:eastAsia="宋体"/>
          <w:b/>
          <w:color w:val="auto"/>
          <w:sz w:val="44"/>
        </w:rPr>
        <w:t>土地</w:t>
      </w:r>
      <w:r>
        <w:rPr>
          <w:rFonts w:ascii="Calibri" w:hAnsi="Calibri" w:eastAsia="宋体"/>
          <w:b/>
          <w:color w:val="auto"/>
          <w:sz w:val="44"/>
        </w:rPr>
        <w:t>使用条件</w:t>
      </w:r>
    </w:p>
    <w:p>
      <w:pPr>
        <w:jc w:val="center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（示范</w:t>
      </w:r>
      <w:r>
        <w:rPr>
          <w:rFonts w:ascii="仿宋_GB2312" w:hAnsi="Calibri" w:eastAsia="仿宋_GB2312"/>
          <w:color w:val="auto"/>
          <w:sz w:val="32"/>
          <w:szCs w:val="28"/>
        </w:rPr>
        <w:t>文本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）</w:t>
      </w:r>
    </w:p>
    <w:p>
      <w:pPr>
        <w:spacing w:line="720" w:lineRule="auto"/>
        <w:jc w:val="center"/>
        <w:rPr>
          <w:rFonts w:ascii="Calibri" w:hAnsi="Calibri" w:eastAsia="宋体"/>
          <w:color w:val="auto"/>
          <w:sz w:val="32"/>
          <w:szCs w:val="28"/>
        </w:rPr>
      </w:pPr>
    </w:p>
    <w:p>
      <w:pPr>
        <w:spacing w:line="660" w:lineRule="exact"/>
        <w:ind w:firstLine="640" w:firstLineChars="200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一、设施农业项目名称：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               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。</w:t>
      </w:r>
    </w:p>
    <w:p>
      <w:pPr>
        <w:spacing w:line="660" w:lineRule="exact"/>
        <w:ind w:left="2398" w:leftChars="304" w:hanging="1760" w:hangingChars="550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二、设施用地使用期限：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年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月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日起至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年</w:t>
      </w:r>
    </w:p>
    <w:p>
      <w:pPr>
        <w:spacing w:line="660" w:lineRule="exact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月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日止。</w:t>
      </w:r>
    </w:p>
    <w:p>
      <w:pPr>
        <w:spacing w:line="660" w:lineRule="exact"/>
        <w:ind w:firstLine="640" w:firstLineChars="200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三、土地交付日期及标准：由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（土地所有权人）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于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年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月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日前交付给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（设施农业经营者）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使用，交付标准为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。</w:t>
      </w:r>
    </w:p>
    <w:p>
      <w:pPr>
        <w:spacing w:line="660" w:lineRule="exact"/>
        <w:ind w:firstLine="640" w:firstLineChars="200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四、使用土地价款及支付：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  （设施农业经营者）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于每年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月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日前分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次，按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元/亩或实物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公斤/亩，合计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元价款支付给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（土地所有权人）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。</w:t>
      </w:r>
    </w:p>
    <w:p>
      <w:pPr>
        <w:spacing w:line="660" w:lineRule="exact"/>
        <w:ind w:firstLine="640" w:firstLineChars="200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五、土地复垦费用管理：本设施农业项目土地复垦费用初步估算为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万元，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   （设施农业经营者）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应于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年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月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日前预存土地复垦费用。经验收合格后，可申请退还预存土地复垦费用。</w:t>
      </w:r>
    </w:p>
    <w:p>
      <w:pPr>
        <w:spacing w:line="660" w:lineRule="exact"/>
        <w:ind w:firstLine="640" w:firstLineChars="200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六、土地复垦期限和质量要求：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 （设施农业经营者）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应于使用土地期限截止后</w:t>
      </w:r>
      <w:r>
        <w:rPr>
          <w:rFonts w:ascii="仿宋_GB2312" w:hAnsi="Calibri" w:eastAsia="仿宋_GB2312"/>
          <w:color w:val="auto"/>
          <w:sz w:val="32"/>
          <w:szCs w:val="28"/>
          <w:u w:val="single"/>
        </w:rPr>
        <w:t xml:space="preserve">   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内落实土地复垦义务。</w:t>
      </w:r>
    </w:p>
    <w:tbl>
      <w:tblPr>
        <w:tblStyle w:val="3"/>
        <w:tblW w:w="83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678"/>
        <w:gridCol w:w="1131"/>
        <w:gridCol w:w="678"/>
        <w:gridCol w:w="1130"/>
        <w:gridCol w:w="677"/>
        <w:gridCol w:w="677"/>
        <w:gridCol w:w="1130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3617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8"/>
              </w:rPr>
              <w:t>耕地</w:t>
            </w:r>
          </w:p>
        </w:tc>
        <w:tc>
          <w:tcPr>
            <w:tcW w:w="677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8"/>
              </w:rPr>
              <w:t>园地</w:t>
            </w:r>
          </w:p>
        </w:tc>
        <w:tc>
          <w:tcPr>
            <w:tcW w:w="677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8"/>
              </w:rPr>
              <w:t>林地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8"/>
              </w:rPr>
              <w:t>养殖水面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8"/>
              </w:rPr>
              <w:t>其他农用地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678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8"/>
              </w:rPr>
              <w:t>面积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8"/>
              </w:rPr>
              <w:t>地力等级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8"/>
              </w:rPr>
              <w:t>水田</w:t>
            </w:r>
          </w:p>
        </w:tc>
        <w:tc>
          <w:tcPr>
            <w:tcW w:w="67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8"/>
              </w:rPr>
              <w:t>面积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8"/>
              </w:rPr>
              <w:t>地力等级</w:t>
            </w:r>
          </w:p>
        </w:tc>
        <w:tc>
          <w:tcPr>
            <w:tcW w:w="67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8"/>
              </w:rPr>
              <w:t>复垦前</w:t>
            </w:r>
          </w:p>
        </w:tc>
        <w:tc>
          <w:tcPr>
            <w:tcW w:w="67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67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67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8"/>
              </w:rPr>
              <w:t>复垦后</w:t>
            </w:r>
          </w:p>
        </w:tc>
        <w:tc>
          <w:tcPr>
            <w:tcW w:w="67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67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67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8"/>
              </w:rPr>
            </w:pPr>
          </w:p>
        </w:tc>
      </w:tr>
    </w:tbl>
    <w:p>
      <w:pPr>
        <w:spacing w:line="660" w:lineRule="exact"/>
        <w:ind w:firstLine="640" w:firstLineChars="200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七、土地交还日期及标准：由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 （设施农业经营者）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于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年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月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日前交还</w:t>
      </w:r>
      <w:r>
        <w:rPr>
          <w:rFonts w:hint="eastAsia" w:ascii="仿宋_GB2312" w:hAnsi="Calibri" w:eastAsia="仿宋_GB2312"/>
          <w:color w:val="auto"/>
          <w:sz w:val="32"/>
          <w:szCs w:val="28"/>
          <w:lang w:eastAsia="zh-CN"/>
        </w:rPr>
        <w:t>给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 （土地所有权人）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，交还标准为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。</w:t>
      </w:r>
    </w:p>
    <w:p>
      <w:pPr>
        <w:spacing w:line="520" w:lineRule="exact"/>
        <w:ind w:firstLine="640" w:firstLineChars="200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八、违约规定：</w:t>
      </w:r>
    </w:p>
    <w:p>
      <w:pPr>
        <w:spacing w:line="520" w:lineRule="exact"/>
        <w:ind w:firstLine="640" w:firstLineChars="200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（一）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（设施农业经营者）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应按时足额向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（土地所有权人）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支付土地使用价款，逾期</w:t>
      </w:r>
      <w:r>
        <w:rPr>
          <w:rFonts w:hint="eastAsia" w:ascii="仿宋_GB2312" w:hAnsi="Calibri" w:eastAsia="仿宋_GB2312"/>
          <w:color w:val="auto"/>
          <w:sz w:val="32"/>
          <w:szCs w:val="28"/>
          <w:lang w:eastAsia="zh-CN"/>
        </w:rPr>
        <w:t>一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日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（设施农业经营者）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应支付应付款的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%滞纳金。逾期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日视为违约，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（土地所有权人）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有权收回该土地使用权及没收定金、地上建筑物等。</w:t>
      </w:r>
    </w:p>
    <w:p>
      <w:pPr>
        <w:spacing w:line="520" w:lineRule="exact"/>
        <w:ind w:firstLine="640" w:firstLineChars="200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（二）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（设施农业经营者）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擅自改变该土地用途或不合理使用土地给该土地造成永久性损害的，经农业农村局会相关部门确认后，应承担土地功能恢复责任，无法全部恢复的，承担赔偿责任。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（土地所有权人）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有权收回该土地使用权及没收合同定金。</w:t>
      </w:r>
    </w:p>
    <w:p>
      <w:pPr>
        <w:spacing w:line="520" w:lineRule="exact"/>
        <w:ind w:firstLine="640" w:firstLineChars="200"/>
        <w:rPr>
          <w:rFonts w:ascii="仿宋_GB2312" w:hAnsi="Calibri" w:eastAsia="仿宋_GB2312"/>
          <w:color w:val="auto"/>
          <w:sz w:val="32"/>
          <w:szCs w:val="28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（三）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 （土地所有权人）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应按时向</w:t>
      </w:r>
      <w:r>
        <w:rPr>
          <w:rFonts w:ascii="仿宋_GB2312" w:hAnsi="Calibri" w:eastAsia="仿宋_GB2312"/>
          <w:color w:val="auto"/>
          <w:sz w:val="32"/>
          <w:szCs w:val="28"/>
          <w:u w:val="single"/>
        </w:rPr>
        <w:t xml:space="preserve">       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>（设施农业经营者）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交付土地，逾期</w:t>
      </w:r>
      <w:r>
        <w:rPr>
          <w:rFonts w:hint="eastAsia" w:ascii="仿宋_GB2312" w:hAnsi="Calibri" w:eastAsia="仿宋_GB2312"/>
          <w:color w:val="auto"/>
          <w:sz w:val="32"/>
          <w:szCs w:val="28"/>
          <w:lang w:eastAsia="zh-CN"/>
        </w:rPr>
        <w:t>一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日应支付流转价款的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%滞纳金。逾期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日视为单方违约，应双倍返还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 （设施农业经营者）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所交定金，给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 （设施农业经营者）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造成实际损失的，还应承担赔偿责任。</w:t>
      </w:r>
    </w:p>
    <w:p>
      <w:pPr>
        <w:spacing w:line="520" w:lineRule="exact"/>
        <w:ind w:firstLine="640" w:firstLineChars="200"/>
        <w:rPr>
          <w:rFonts w:ascii="仿宋_GB2312" w:hAnsi="Calibri" w:eastAsia="仿宋_GB2312"/>
          <w:color w:val="auto"/>
          <w:sz w:val="32"/>
          <w:szCs w:val="28"/>
          <w:u w:val="single"/>
        </w:rPr>
      </w:pPr>
      <w:r>
        <w:rPr>
          <w:rFonts w:hint="eastAsia" w:ascii="仿宋_GB2312" w:hAnsi="Calibri" w:eastAsia="仿宋_GB2312"/>
          <w:color w:val="auto"/>
          <w:sz w:val="32"/>
          <w:szCs w:val="28"/>
        </w:rPr>
        <w:t>（四）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（土地所有权人）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擅自干涉和破坏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（设施农业经营者）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生产与经营，使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 （设施农业经营者）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无法进行正常的生产经营活动的，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（设施农业经营者）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有权单方解除合同，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 （土地所有权人）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应双倍返还</w:t>
      </w:r>
      <w:r>
        <w:rPr>
          <w:rFonts w:hint="eastAsia" w:ascii="仿宋_GB2312" w:hAnsi="Calibri" w:eastAsia="仿宋_GB2312"/>
          <w:color w:val="auto"/>
          <w:sz w:val="32"/>
          <w:szCs w:val="28"/>
          <w:u w:val="single"/>
        </w:rPr>
        <w:t xml:space="preserve">       （设施农业经营者）</w:t>
      </w:r>
      <w:r>
        <w:rPr>
          <w:rFonts w:hint="eastAsia" w:ascii="仿宋_GB2312" w:hAnsi="Calibri" w:eastAsia="仿宋_GB2312"/>
          <w:color w:val="auto"/>
          <w:sz w:val="32"/>
          <w:szCs w:val="28"/>
        </w:rPr>
        <w:t>所交合同定金，造成实际损失的，还应承担赔偿责任。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21003"/>
    <w:rsid w:val="321E6642"/>
    <w:rsid w:val="39B2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2019-12-10T09:43:00Z</dcterms:created>
  <dc:creator>安诗芳</dc:creator>
  <cp:lastModifiedBy>安诗芳</cp:lastModifiedBy>
  <dcterms:modified xsi:type="dcterms:W3CDTF">2019-12-10T09:43:46Z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