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1"/>
        <w:rPr>
          <w:rFonts w:ascii="Calibri" w:hAnsi="Calibri" w:eastAsia="宋体"/>
          <w:b/>
          <w:color w:val="auto"/>
          <w:sz w:val="32"/>
        </w:rPr>
      </w:pPr>
      <w:r>
        <w:rPr>
          <w:rFonts w:hint="eastAsia" w:ascii="Calibri" w:hAnsi="Calibri" w:eastAsia="宋体"/>
          <w:b/>
          <w:color w:val="auto"/>
          <w:sz w:val="32"/>
        </w:rPr>
        <w:t>附件</w:t>
      </w:r>
      <w:r>
        <w:rPr>
          <w:rFonts w:ascii="Calibri" w:hAnsi="Calibri" w:eastAsia="宋体"/>
          <w:b/>
          <w:color w:val="auto"/>
          <w:sz w:val="32"/>
        </w:rPr>
        <w:t>4</w:t>
      </w:r>
    </w:p>
    <w:p>
      <w:pPr>
        <w:jc w:val="center"/>
        <w:rPr>
          <w:rFonts w:ascii="Calibri" w:hAnsi="Calibri" w:eastAsia="宋体"/>
          <w:b/>
          <w:color w:val="auto"/>
          <w:sz w:val="44"/>
        </w:rPr>
      </w:pPr>
      <w:r>
        <w:rPr>
          <w:rFonts w:hint="eastAsia" w:ascii="Calibri" w:hAnsi="Calibri" w:eastAsia="宋体"/>
          <w:b/>
          <w:color w:val="auto"/>
          <w:sz w:val="44"/>
        </w:rPr>
        <w:t>设施</w:t>
      </w:r>
      <w:r>
        <w:rPr>
          <w:rFonts w:ascii="Calibri" w:hAnsi="Calibri" w:eastAsia="宋体"/>
          <w:b/>
          <w:color w:val="auto"/>
          <w:sz w:val="44"/>
        </w:rPr>
        <w:t>农业项目用地协议</w:t>
      </w:r>
    </w:p>
    <w:p>
      <w:pPr>
        <w:spacing w:line="360" w:lineRule="auto"/>
        <w:jc w:val="center"/>
        <w:rPr>
          <w:rFonts w:ascii="Calibri" w:hAnsi="Calibri" w:eastAsia="宋体"/>
          <w:color w:val="auto"/>
          <w:sz w:val="36"/>
          <w:szCs w:val="30"/>
        </w:rPr>
      </w:pPr>
      <w:r>
        <w:rPr>
          <w:rFonts w:hint="eastAsia" w:ascii="Calibri" w:hAnsi="Calibri" w:eastAsia="宋体"/>
          <w:color w:val="auto"/>
          <w:sz w:val="36"/>
          <w:szCs w:val="30"/>
        </w:rPr>
        <w:t>（示范</w:t>
      </w:r>
      <w:r>
        <w:rPr>
          <w:rFonts w:ascii="Calibri" w:hAnsi="Calibri" w:eastAsia="宋体"/>
          <w:color w:val="auto"/>
          <w:sz w:val="36"/>
          <w:szCs w:val="30"/>
        </w:rPr>
        <w:t>文本</w:t>
      </w:r>
      <w:r>
        <w:rPr>
          <w:rFonts w:hint="eastAsia" w:ascii="Calibri" w:hAnsi="Calibri" w:eastAsia="宋体"/>
          <w:color w:val="auto"/>
          <w:sz w:val="36"/>
          <w:szCs w:val="30"/>
        </w:rPr>
        <w:t>）</w:t>
      </w: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jc w:val="center"/>
        <w:rPr>
          <w:rFonts w:ascii="Calibri" w:hAnsi="Calibri" w:eastAsia="宋体"/>
          <w:color w:val="auto"/>
          <w:sz w:val="30"/>
          <w:szCs w:val="30"/>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none"/>
          <w:lang w:eastAsia="zh-CN"/>
        </w:rPr>
        <w:t>市</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区</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镇（街）</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村</w:t>
      </w:r>
    </w:p>
    <w:p>
      <w:pPr>
        <w:spacing w:line="360" w:lineRule="auto"/>
        <w:jc w:val="center"/>
        <w:rPr>
          <w:rFonts w:ascii="仿宋_GB2312" w:hAnsi="Calibri" w:eastAsia="仿宋_GB2312"/>
          <w:color w:val="auto"/>
          <w:sz w:val="32"/>
          <w:szCs w:val="32"/>
        </w:rPr>
      </w:pPr>
    </w:p>
    <w:p>
      <w:pPr>
        <w:spacing w:line="360" w:lineRule="auto"/>
        <w:rPr>
          <w:rFonts w:ascii="仿宋_GB2312" w:hAnsi="Calibri" w:eastAsia="仿宋_GB2312"/>
          <w:color w:val="auto"/>
          <w:sz w:val="32"/>
          <w:szCs w:val="32"/>
          <w:u w:val="single"/>
        </w:rPr>
      </w:pPr>
      <w:r>
        <w:rPr>
          <w:rFonts w:hint="eastAsia" w:ascii="仿宋_GB2312" w:hAnsi="Calibri" w:eastAsia="仿宋_GB2312"/>
          <w:color w:val="auto"/>
          <w:sz w:val="32"/>
          <w:szCs w:val="32"/>
        </w:rPr>
        <w:t>协议编号：</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p>
    <w:p>
      <w:pPr>
        <w:spacing w:line="360" w:lineRule="auto"/>
        <w:jc w:val="center"/>
        <w:rPr>
          <w:rFonts w:ascii="仿宋_GB2312" w:hAnsi="Calibri" w:eastAsia="仿宋_GB2312"/>
          <w:color w:val="auto"/>
          <w:sz w:val="32"/>
          <w:szCs w:val="32"/>
        </w:rPr>
      </w:pPr>
    </w:p>
    <w:p>
      <w:pPr>
        <w:spacing w:line="360" w:lineRule="auto"/>
        <w:rPr>
          <w:rFonts w:ascii="仿宋_GB2312" w:hAnsi="Calibri" w:eastAsia="仿宋_GB2312"/>
          <w:color w:val="auto"/>
          <w:sz w:val="32"/>
          <w:szCs w:val="32"/>
          <w:u w:val="single"/>
        </w:rPr>
      </w:pPr>
      <w:r>
        <w:rPr>
          <w:rFonts w:hint="eastAsia" w:ascii="仿宋_GB2312" w:hAnsi="Calibri" w:eastAsia="仿宋_GB2312"/>
          <w:color w:val="auto"/>
          <w:sz w:val="32"/>
          <w:szCs w:val="32"/>
        </w:rPr>
        <w:t>签订日期：</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32"/>
          <w:u w:val="single"/>
        </w:rPr>
        <w:t xml:space="preserve">   </w:t>
      </w:r>
    </w:p>
    <w:p>
      <w:pPr>
        <w:spacing w:line="360" w:lineRule="auto"/>
        <w:ind w:firstLine="640" w:firstLineChars="200"/>
        <w:rPr>
          <w:rFonts w:ascii="仿宋_GB2312" w:hAnsi="Calibri" w:eastAsia="仿宋_GB2312"/>
          <w:color w:val="auto"/>
          <w:sz w:val="32"/>
          <w:szCs w:val="32"/>
          <w:u w:val="single"/>
        </w:rPr>
      </w:pPr>
      <w:r>
        <w:rPr>
          <w:rFonts w:ascii="仿宋_GB2312" w:hAnsi="Calibri" w:eastAsia="仿宋_GB2312"/>
          <w:color w:val="auto"/>
          <w:sz w:val="32"/>
          <w:szCs w:val="32"/>
        </w:rPr>
        <w:br w:type="page"/>
      </w:r>
      <w:r>
        <w:rPr>
          <w:rFonts w:hint="eastAsia" w:ascii="仿宋_GB2312" w:hAnsi="Calibri" w:eastAsia="仿宋_GB2312"/>
          <w:color w:val="auto"/>
          <w:sz w:val="32"/>
          <w:szCs w:val="32"/>
        </w:rPr>
        <w:t>甲方：</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（农村集体经济组织）</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乙方：</w:t>
      </w:r>
      <w:r>
        <w:rPr>
          <w:rFonts w:hint="eastAsia" w:ascii="仿宋_GB2312" w:hAnsi="Calibri" w:eastAsia="仿宋_GB2312"/>
          <w:color w:val="auto"/>
          <w:sz w:val="32"/>
          <w:szCs w:val="32"/>
          <w:u w:val="single"/>
        </w:rPr>
        <w:t xml:space="preserve">         （设施农业经营者）</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丙方：</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（镇（街））</w:t>
      </w:r>
      <w:r>
        <w:rPr>
          <w:rFonts w:hint="eastAsia" w:ascii="仿宋_GB2312" w:hAnsi="Calibri" w:eastAsia="仿宋_GB2312"/>
          <w:color w:val="auto"/>
          <w:sz w:val="32"/>
          <w:szCs w:val="32"/>
        </w:rPr>
        <w:t>地址</w:t>
      </w:r>
      <w:r>
        <w:rPr>
          <w:rFonts w:hint="eastAsia" w:ascii="仿宋_GB2312" w:hAnsi="Calibri" w:eastAsia="仿宋_GB2312"/>
          <w:color w:val="auto"/>
          <w:sz w:val="32"/>
          <w:szCs w:val="32"/>
          <w:u w:val="single"/>
        </w:rPr>
        <w:t>：</w:t>
      </w:r>
      <w:r>
        <w:rPr>
          <w:rFonts w:hint="eastAsia" w:ascii="仿宋_GB2312" w:hAnsi="Calibri" w:eastAsia="仿宋_GB2312"/>
          <w:color w:val="auto"/>
          <w:sz w:val="32"/>
          <w:szCs w:val="28"/>
          <w:u w:val="single"/>
        </w:rPr>
        <w:t xml:space="preserve">        </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为维护当事人的合法权益，根据《中华人民共和国合同法》，《中华人民共和国土地管理法》和《国土资源部 农业部关于进一步支持设施农业健康发展的通知》（国土资发</w:t>
      </w:r>
      <w:r>
        <w:rPr>
          <w:rFonts w:hint="eastAsia" w:ascii="宋体" w:hAnsi="宋体" w:eastAsia="宋体" w:cs="宋体"/>
          <w:color w:val="auto"/>
          <w:sz w:val="32"/>
          <w:szCs w:val="32"/>
        </w:rPr>
        <w:t>〔</w:t>
      </w:r>
      <w:r>
        <w:rPr>
          <w:rFonts w:hint="eastAsia" w:ascii="仿宋_GB2312" w:hAnsi="Calibri" w:eastAsia="仿宋_GB2312"/>
          <w:color w:val="auto"/>
          <w:sz w:val="32"/>
          <w:szCs w:val="32"/>
        </w:rPr>
        <w:t>2014</w:t>
      </w:r>
      <w:r>
        <w:rPr>
          <w:rFonts w:hint="eastAsia" w:ascii="宋体" w:hAnsi="宋体" w:eastAsia="宋体" w:cs="宋体"/>
          <w:color w:val="auto"/>
          <w:sz w:val="32"/>
          <w:szCs w:val="32"/>
        </w:rPr>
        <w:t>〕</w:t>
      </w:r>
      <w:r>
        <w:rPr>
          <w:rFonts w:hint="eastAsia" w:ascii="仿宋_GB2312" w:hAnsi="Calibri" w:eastAsia="仿宋_GB2312"/>
          <w:color w:val="auto"/>
          <w:sz w:val="32"/>
          <w:szCs w:val="32"/>
        </w:rPr>
        <w:t>127号）等有关法规政策规定，经三方自愿平等协商同意订立本协议。</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第一条   项目基本情况</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项目名称：</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项目用地面积：</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平方米。</w:t>
      </w:r>
    </w:p>
    <w:p>
      <w:pPr>
        <w:spacing w:line="360" w:lineRule="auto"/>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项目用地坐落：</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。详见宗地图1</w:t>
      </w:r>
      <w:r>
        <w:rPr>
          <w:rFonts w:hint="eastAsia" w:ascii="仿宋_GB2312" w:hAnsi="Calibri" w:eastAsia="仿宋_GB2312"/>
          <w:color w:val="auto"/>
          <w:sz w:val="32"/>
          <w:szCs w:val="32"/>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项目性质为（打钩）：□1.工厂化作物栽培；</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□2.规模化畜禽养殖；</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□3.水产养殖；</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 xml:space="preserve">                   □4.规模化粮食生产。</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第二条   设施用地情况</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甲方将享有所有权的座落在</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的土地（四至为：</w:t>
      </w:r>
      <w:r>
        <w:rPr>
          <w:rFonts w:hint="eastAsia" w:ascii="仿宋_GB2312" w:hAnsi="Calibri" w:eastAsia="仿宋_GB2312"/>
          <w:color w:val="auto"/>
          <w:sz w:val="32"/>
          <w:szCs w:val="28"/>
        </w:rPr>
        <w:t>东至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，南至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，西至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28"/>
        </w:rPr>
        <w:t>，北至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），地力等级为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，共（大写）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平方米（（小写）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平方米）以</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流转（转包、出租、转让、互换）方式从</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日起至</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日止，流转给乙方用于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。详见宗地图2。</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规模化粮食生产项目涉及</w:t>
      </w:r>
      <w:r>
        <w:rPr>
          <w:rFonts w:hint="eastAsia" w:ascii="仿宋_GB2312" w:hAnsi="Calibri" w:eastAsia="仿宋_GB2312"/>
          <w:color w:val="auto"/>
          <w:sz w:val="32"/>
          <w:szCs w:val="32"/>
          <w:lang w:eastAsia="zh-CN"/>
        </w:rPr>
        <w:t>永久</w:t>
      </w:r>
      <w:r>
        <w:rPr>
          <w:rFonts w:hint="eastAsia" w:ascii="仿宋_GB2312" w:hAnsi="Calibri" w:eastAsia="仿宋_GB2312"/>
          <w:color w:val="auto"/>
          <w:sz w:val="32"/>
          <w:szCs w:val="32"/>
        </w:rPr>
        <w:t>基本农田</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平方米，已按国家和省有关规定进行补划，补划面积</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平方米，地力等级</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，补划地块验收批准文件及文号为</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tbl>
      <w:tblPr>
        <w:tblStyle w:val="3"/>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1"/>
        <w:gridCol w:w="839"/>
        <w:gridCol w:w="933"/>
        <w:gridCol w:w="752"/>
        <w:gridCol w:w="633"/>
        <w:gridCol w:w="697"/>
        <w:gridCol w:w="695"/>
        <w:gridCol w:w="695"/>
        <w:gridCol w:w="81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类型</w:t>
            </w:r>
          </w:p>
        </w:tc>
        <w:tc>
          <w:tcPr>
            <w:tcW w:w="839"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用途</w:t>
            </w:r>
          </w:p>
        </w:tc>
        <w:tc>
          <w:tcPr>
            <w:tcW w:w="1685" w:type="dxa"/>
            <w:gridSpan w:val="2"/>
            <w:vAlign w:val="center"/>
          </w:tcPr>
          <w:p>
            <w:pPr>
              <w:adjustRightInd w:val="0"/>
              <w:snapToGrid w:val="0"/>
              <w:rPr>
                <w:rFonts w:ascii="仿宋_GB2312" w:hAnsi="宋体" w:eastAsia="仿宋_GB2312"/>
                <w:color w:val="auto"/>
                <w:sz w:val="24"/>
                <w:szCs w:val="24"/>
              </w:rPr>
            </w:pPr>
            <w:r>
              <w:rPr>
                <w:rFonts w:hint="eastAsia" w:ascii="仿宋_GB2312" w:hAnsi="宋体" w:eastAsia="仿宋_GB2312"/>
                <w:color w:val="auto"/>
                <w:sz w:val="24"/>
                <w:szCs w:val="24"/>
              </w:rPr>
              <w:t>面积（平方米）</w:t>
            </w:r>
          </w:p>
        </w:tc>
        <w:tc>
          <w:tcPr>
            <w:tcW w:w="4444" w:type="dxa"/>
            <w:gridSpan w:val="6"/>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设施用地原地类面积（平方米）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 w:hRule="atLeast"/>
        </w:trPr>
        <w:tc>
          <w:tcPr>
            <w:tcW w:w="1291" w:type="dxa"/>
            <w:vMerge w:val="continue"/>
            <w:vAlign w:val="center"/>
          </w:tcPr>
          <w:p>
            <w:pPr>
              <w:adjustRightInd w:val="0"/>
              <w:snapToGrid w:val="0"/>
              <w:jc w:val="center"/>
              <w:rPr>
                <w:rFonts w:ascii="仿宋_GB2312" w:hAnsi="宋体" w:eastAsia="仿宋_GB2312"/>
                <w:color w:val="auto"/>
                <w:sz w:val="24"/>
                <w:szCs w:val="24"/>
              </w:rPr>
            </w:pPr>
          </w:p>
        </w:tc>
        <w:tc>
          <w:tcPr>
            <w:tcW w:w="839" w:type="dxa"/>
            <w:vMerge w:val="continue"/>
            <w:vAlign w:val="center"/>
          </w:tcPr>
          <w:p>
            <w:pPr>
              <w:adjustRightInd w:val="0"/>
              <w:snapToGrid w:val="0"/>
              <w:jc w:val="center"/>
              <w:rPr>
                <w:rFonts w:ascii="仿宋_GB2312" w:hAnsi="宋体" w:eastAsia="仿宋_GB2312"/>
                <w:color w:val="auto"/>
                <w:sz w:val="24"/>
                <w:szCs w:val="24"/>
              </w:rPr>
            </w:pPr>
          </w:p>
        </w:tc>
        <w:tc>
          <w:tcPr>
            <w:tcW w:w="933" w:type="dxa"/>
            <w:vMerge w:val="restart"/>
            <w:vAlign w:val="center"/>
          </w:tcPr>
          <w:p>
            <w:pPr>
              <w:adjustRightInd w:val="0"/>
              <w:snapToGrid w:val="0"/>
              <w:jc w:val="center"/>
              <w:rPr>
                <w:rFonts w:ascii="仿宋_GB2312" w:hAnsi="宋体" w:eastAsia="仿宋_GB2312"/>
                <w:color w:val="auto"/>
                <w:sz w:val="24"/>
                <w:szCs w:val="24"/>
              </w:rPr>
            </w:pPr>
          </w:p>
        </w:tc>
        <w:tc>
          <w:tcPr>
            <w:tcW w:w="752"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基本农田</w:t>
            </w:r>
          </w:p>
        </w:tc>
        <w:tc>
          <w:tcPr>
            <w:tcW w:w="1330" w:type="dxa"/>
            <w:gridSpan w:val="2"/>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耕地</w:t>
            </w:r>
          </w:p>
        </w:tc>
        <w:tc>
          <w:tcPr>
            <w:tcW w:w="69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园地</w:t>
            </w:r>
          </w:p>
        </w:tc>
        <w:tc>
          <w:tcPr>
            <w:tcW w:w="69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林地</w:t>
            </w:r>
          </w:p>
        </w:tc>
        <w:tc>
          <w:tcPr>
            <w:tcW w:w="819"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养殖</w:t>
            </w:r>
          </w:p>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水面</w:t>
            </w:r>
          </w:p>
        </w:tc>
        <w:tc>
          <w:tcPr>
            <w:tcW w:w="905" w:type="dxa"/>
            <w:vMerge w:val="restart"/>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其他农用地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 w:hRule="atLeast"/>
        </w:trPr>
        <w:tc>
          <w:tcPr>
            <w:tcW w:w="1291" w:type="dxa"/>
            <w:vMerge w:val="continue"/>
            <w:vAlign w:val="center"/>
          </w:tcPr>
          <w:p>
            <w:pPr>
              <w:adjustRightInd w:val="0"/>
              <w:snapToGrid w:val="0"/>
              <w:jc w:val="left"/>
              <w:rPr>
                <w:rFonts w:ascii="仿宋_GB2312" w:hAnsi="宋体" w:eastAsia="仿宋_GB2312"/>
                <w:color w:val="auto"/>
                <w:sz w:val="24"/>
                <w:szCs w:val="24"/>
              </w:rPr>
            </w:pPr>
          </w:p>
        </w:tc>
        <w:tc>
          <w:tcPr>
            <w:tcW w:w="839" w:type="dxa"/>
            <w:vMerge w:val="continue"/>
            <w:vAlign w:val="center"/>
          </w:tcPr>
          <w:p>
            <w:pPr>
              <w:adjustRightInd w:val="0"/>
              <w:snapToGrid w:val="0"/>
              <w:jc w:val="left"/>
              <w:rPr>
                <w:rFonts w:ascii="仿宋_GB2312" w:hAnsi="宋体" w:eastAsia="仿宋_GB2312"/>
                <w:color w:val="auto"/>
                <w:sz w:val="24"/>
                <w:szCs w:val="24"/>
              </w:rPr>
            </w:pPr>
          </w:p>
        </w:tc>
        <w:tc>
          <w:tcPr>
            <w:tcW w:w="933" w:type="dxa"/>
            <w:vMerge w:val="continue"/>
            <w:vAlign w:val="center"/>
          </w:tcPr>
          <w:p>
            <w:pPr>
              <w:adjustRightInd w:val="0"/>
              <w:snapToGrid w:val="0"/>
              <w:jc w:val="left"/>
              <w:rPr>
                <w:rFonts w:ascii="仿宋_GB2312" w:hAnsi="宋体" w:eastAsia="仿宋_GB2312"/>
                <w:color w:val="auto"/>
                <w:sz w:val="24"/>
                <w:szCs w:val="24"/>
              </w:rPr>
            </w:pPr>
          </w:p>
        </w:tc>
        <w:tc>
          <w:tcPr>
            <w:tcW w:w="752" w:type="dxa"/>
            <w:vMerge w:val="continue"/>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r>
              <w:rPr>
                <w:rFonts w:hint="eastAsia" w:ascii="仿宋_GB2312" w:hAnsi="宋体" w:eastAsia="仿宋_GB2312"/>
                <w:color w:val="auto"/>
                <w:sz w:val="24"/>
                <w:szCs w:val="24"/>
              </w:rPr>
              <w:t>水田</w:t>
            </w:r>
          </w:p>
        </w:tc>
        <w:tc>
          <w:tcPr>
            <w:tcW w:w="695" w:type="dxa"/>
            <w:vMerge w:val="continue"/>
            <w:vAlign w:val="center"/>
          </w:tcPr>
          <w:p>
            <w:pPr>
              <w:adjustRightInd w:val="0"/>
              <w:snapToGrid w:val="0"/>
              <w:jc w:val="left"/>
              <w:rPr>
                <w:rFonts w:ascii="仿宋_GB2312" w:hAnsi="宋体" w:eastAsia="仿宋_GB2312"/>
                <w:color w:val="auto"/>
                <w:sz w:val="24"/>
                <w:szCs w:val="24"/>
              </w:rPr>
            </w:pPr>
          </w:p>
        </w:tc>
        <w:tc>
          <w:tcPr>
            <w:tcW w:w="695" w:type="dxa"/>
            <w:vMerge w:val="continue"/>
            <w:vAlign w:val="center"/>
          </w:tcPr>
          <w:p>
            <w:pPr>
              <w:adjustRightInd w:val="0"/>
              <w:snapToGrid w:val="0"/>
              <w:jc w:val="left"/>
              <w:rPr>
                <w:rFonts w:ascii="仿宋_GB2312" w:hAnsi="宋体" w:eastAsia="仿宋_GB2312"/>
                <w:color w:val="auto"/>
                <w:sz w:val="24"/>
                <w:szCs w:val="24"/>
              </w:rPr>
            </w:pPr>
          </w:p>
        </w:tc>
        <w:tc>
          <w:tcPr>
            <w:tcW w:w="819" w:type="dxa"/>
            <w:vMerge w:val="continue"/>
            <w:vAlign w:val="center"/>
          </w:tcPr>
          <w:p>
            <w:pPr>
              <w:adjustRightInd w:val="0"/>
              <w:snapToGrid w:val="0"/>
              <w:jc w:val="left"/>
              <w:rPr>
                <w:rFonts w:ascii="仿宋_GB2312" w:hAnsi="宋体" w:eastAsia="仿宋_GB2312"/>
                <w:color w:val="auto"/>
                <w:sz w:val="24"/>
                <w:szCs w:val="24"/>
              </w:rPr>
            </w:pPr>
          </w:p>
        </w:tc>
        <w:tc>
          <w:tcPr>
            <w:tcW w:w="905" w:type="dxa"/>
            <w:vMerge w:val="continue"/>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生产设施用地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附属设施用地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1291" w:type="dxa"/>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配套设施用地</w:t>
            </w:r>
          </w:p>
        </w:tc>
        <w:tc>
          <w:tcPr>
            <w:tcW w:w="839" w:type="dxa"/>
            <w:vAlign w:val="center"/>
          </w:tcPr>
          <w:p>
            <w:pPr>
              <w:adjustRightInd w:val="0"/>
              <w:snapToGrid w:val="0"/>
              <w:jc w:val="left"/>
              <w:rPr>
                <w:rFonts w:ascii="仿宋_GB2312" w:hAnsi="宋体" w:eastAsia="仿宋_GB2312"/>
                <w:color w:val="auto"/>
                <w:sz w:val="24"/>
                <w:szCs w:val="24"/>
              </w:rPr>
            </w:pP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2130" w:type="dxa"/>
            <w:gridSpan w:val="2"/>
            <w:vAlign w:val="center"/>
          </w:tcPr>
          <w:p>
            <w:pPr>
              <w:adjustRightInd w:val="0"/>
              <w:snapToGrid w:val="0"/>
              <w:jc w:val="center"/>
              <w:rPr>
                <w:rFonts w:ascii="仿宋_GB2312" w:hAnsi="宋体" w:eastAsia="仿宋_GB2312"/>
                <w:color w:val="auto"/>
                <w:sz w:val="24"/>
                <w:szCs w:val="24"/>
              </w:rPr>
            </w:pPr>
            <w:r>
              <w:rPr>
                <w:rFonts w:hint="eastAsia" w:ascii="仿宋_GB2312" w:hAnsi="宋体" w:eastAsia="仿宋_GB2312"/>
                <w:color w:val="auto"/>
                <w:sz w:val="24"/>
                <w:szCs w:val="24"/>
              </w:rPr>
              <w:t>合计总用地</w:t>
            </w:r>
          </w:p>
        </w:tc>
        <w:tc>
          <w:tcPr>
            <w:tcW w:w="933" w:type="dxa"/>
            <w:vAlign w:val="center"/>
          </w:tcPr>
          <w:p>
            <w:pPr>
              <w:adjustRightInd w:val="0"/>
              <w:snapToGrid w:val="0"/>
              <w:jc w:val="left"/>
              <w:rPr>
                <w:rFonts w:ascii="仿宋_GB2312" w:hAnsi="宋体" w:eastAsia="仿宋_GB2312"/>
                <w:color w:val="auto"/>
                <w:sz w:val="24"/>
                <w:szCs w:val="24"/>
              </w:rPr>
            </w:pPr>
          </w:p>
        </w:tc>
        <w:tc>
          <w:tcPr>
            <w:tcW w:w="752" w:type="dxa"/>
            <w:vAlign w:val="center"/>
          </w:tcPr>
          <w:p>
            <w:pPr>
              <w:adjustRightInd w:val="0"/>
              <w:snapToGrid w:val="0"/>
              <w:jc w:val="left"/>
              <w:rPr>
                <w:rFonts w:ascii="仿宋_GB2312" w:hAnsi="宋体" w:eastAsia="仿宋_GB2312"/>
                <w:color w:val="auto"/>
                <w:sz w:val="24"/>
                <w:szCs w:val="24"/>
              </w:rPr>
            </w:pPr>
          </w:p>
        </w:tc>
        <w:tc>
          <w:tcPr>
            <w:tcW w:w="633" w:type="dxa"/>
            <w:vAlign w:val="center"/>
          </w:tcPr>
          <w:p>
            <w:pPr>
              <w:adjustRightInd w:val="0"/>
              <w:snapToGrid w:val="0"/>
              <w:jc w:val="left"/>
              <w:rPr>
                <w:rFonts w:ascii="仿宋_GB2312" w:hAnsi="宋体" w:eastAsia="仿宋_GB2312"/>
                <w:color w:val="auto"/>
                <w:sz w:val="24"/>
                <w:szCs w:val="24"/>
              </w:rPr>
            </w:pPr>
          </w:p>
        </w:tc>
        <w:tc>
          <w:tcPr>
            <w:tcW w:w="697"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695" w:type="dxa"/>
            <w:vAlign w:val="center"/>
          </w:tcPr>
          <w:p>
            <w:pPr>
              <w:adjustRightInd w:val="0"/>
              <w:snapToGrid w:val="0"/>
              <w:jc w:val="left"/>
              <w:rPr>
                <w:rFonts w:ascii="仿宋_GB2312" w:hAnsi="宋体" w:eastAsia="仿宋_GB2312"/>
                <w:color w:val="auto"/>
                <w:sz w:val="24"/>
                <w:szCs w:val="24"/>
              </w:rPr>
            </w:pPr>
          </w:p>
        </w:tc>
        <w:tc>
          <w:tcPr>
            <w:tcW w:w="819" w:type="dxa"/>
            <w:vAlign w:val="center"/>
          </w:tcPr>
          <w:p>
            <w:pPr>
              <w:adjustRightInd w:val="0"/>
              <w:snapToGrid w:val="0"/>
              <w:jc w:val="left"/>
              <w:rPr>
                <w:rFonts w:ascii="仿宋_GB2312" w:hAnsi="宋体" w:eastAsia="仿宋_GB2312"/>
                <w:color w:val="auto"/>
                <w:sz w:val="24"/>
                <w:szCs w:val="24"/>
              </w:rPr>
            </w:pPr>
          </w:p>
        </w:tc>
        <w:tc>
          <w:tcPr>
            <w:tcW w:w="905" w:type="dxa"/>
            <w:vAlign w:val="center"/>
          </w:tcPr>
          <w:p>
            <w:pPr>
              <w:adjustRightInd w:val="0"/>
              <w:snapToGrid w:val="0"/>
              <w:jc w:val="left"/>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 w:hRule="atLeast"/>
        </w:trPr>
        <w:tc>
          <w:tcPr>
            <w:tcW w:w="8259" w:type="dxa"/>
            <w:gridSpan w:val="10"/>
            <w:vAlign w:val="center"/>
          </w:tcPr>
          <w:p>
            <w:pPr>
              <w:adjustRightInd w:val="0"/>
              <w:snapToGrid w:val="0"/>
              <w:jc w:val="left"/>
              <w:rPr>
                <w:rFonts w:ascii="仿宋_GB2312" w:hAnsi="宋体" w:eastAsia="仿宋_GB2312"/>
                <w:color w:val="auto"/>
                <w:sz w:val="24"/>
                <w:szCs w:val="24"/>
                <w:u w:val="single"/>
              </w:rPr>
            </w:pPr>
            <w:r>
              <w:rPr>
                <w:rFonts w:hint="eastAsia" w:ascii="仿宋_GB2312" w:hAnsi="宋体" w:eastAsia="仿宋_GB2312"/>
                <w:color w:val="auto"/>
                <w:sz w:val="24"/>
                <w:szCs w:val="24"/>
              </w:rPr>
              <w:t>其中附属设施用地占总用地面积比例：</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 w:hRule="atLeast"/>
        </w:trPr>
        <w:tc>
          <w:tcPr>
            <w:tcW w:w="8259" w:type="dxa"/>
            <w:gridSpan w:val="10"/>
            <w:vAlign w:val="center"/>
          </w:tcPr>
          <w:p>
            <w:pPr>
              <w:adjustRightInd w:val="0"/>
              <w:snapToGrid w:val="0"/>
              <w:jc w:val="left"/>
              <w:rPr>
                <w:rFonts w:ascii="仿宋_GB2312" w:hAnsi="宋体" w:eastAsia="仿宋_GB2312"/>
                <w:color w:val="auto"/>
                <w:sz w:val="24"/>
                <w:szCs w:val="24"/>
              </w:rPr>
            </w:pPr>
            <w:r>
              <w:rPr>
                <w:rFonts w:hint="eastAsia" w:ascii="仿宋_GB2312" w:hAnsi="宋体" w:eastAsia="仿宋_GB2312"/>
                <w:color w:val="auto"/>
                <w:sz w:val="24"/>
                <w:szCs w:val="24"/>
              </w:rPr>
              <w:t>配套设施用地占总用地面积比例：</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p>
        </w:tc>
      </w:tr>
    </w:tbl>
    <w:p>
      <w:pPr>
        <w:spacing w:before="120" w:beforeLines="50"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第三条   土地交付标准、支付款项及要求</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上述土地由甲方于</w:t>
      </w:r>
      <w:r>
        <w:rPr>
          <w:rFonts w:ascii="仿宋_GB2312" w:hAnsi="Calibri" w:eastAsia="仿宋_GB2312"/>
          <w:color w:val="auto"/>
          <w:sz w:val="32"/>
          <w:szCs w:val="28"/>
          <w:u w:val="single"/>
        </w:rPr>
        <w:t xml:space="preserve">   </w:t>
      </w:r>
      <w:r>
        <w:rPr>
          <w:rFonts w:ascii="仿宋_GB2312" w:hAnsi="仿宋_GB2312" w:eastAsia="仿宋_GB2312"/>
          <w:bCs/>
          <w:color w:val="auto"/>
          <w:sz w:val="32"/>
          <w:szCs w:val="32"/>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日前交付给乙方使用，交付标准为</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lang w:val="en-US" w:eastAsia="zh-CN"/>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u w:val="single"/>
        </w:rPr>
      </w:pPr>
      <w:r>
        <w:rPr>
          <w:rFonts w:hint="eastAsia" w:ascii="仿宋_GB2312" w:hAnsi="Calibri" w:eastAsia="仿宋_GB2312"/>
          <w:color w:val="auto"/>
          <w:sz w:val="32"/>
          <w:szCs w:val="32"/>
        </w:rPr>
        <w:t>乙方应于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日前支付</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万元作为协议定金，并于每年</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single"/>
        </w:rPr>
        <w:t xml:space="preserve"> </w:t>
      </w:r>
      <w:r>
        <w:rPr>
          <w:rFonts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日前分</w:t>
      </w:r>
      <w:r>
        <w:rPr>
          <w:rFonts w:ascii="仿宋_GB2312" w:hAnsi="Calibri" w:eastAsia="仿宋_GB2312"/>
          <w:color w:val="auto"/>
          <w:sz w:val="32"/>
          <w:szCs w:val="32"/>
          <w:u w:val="single"/>
        </w:rPr>
        <w:t xml:space="preserve"> </w:t>
      </w:r>
      <w:r>
        <w:rPr>
          <w:rFonts w:hint="eastAsia" w:ascii="仿宋_GB2312" w:hAnsi="Calibri" w:eastAsia="仿宋_GB2312"/>
          <w:color w:val="auto"/>
          <w:sz w:val="32"/>
          <w:szCs w:val="32"/>
          <w:u w:val="single"/>
          <w:lang w:val="en-US" w:eastAsia="zh-CN"/>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次，按</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元/亩或实物</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公斤/亩，合计</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元（大写：</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32"/>
        </w:rPr>
        <w:t>）价款支付给甲方。所交定金可在最后一年的流转价款中抵扣。</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第四条   土地复垦费用管理、期限要求</w:t>
      </w:r>
    </w:p>
    <w:p>
      <w:pPr>
        <w:spacing w:line="360" w:lineRule="auto"/>
        <w:ind w:left="210" w:leftChars="100" w:firstLine="320" w:firstLineChars="100"/>
        <w:rPr>
          <w:rFonts w:ascii="仿宋_GB2312" w:hAnsi="Calibri" w:eastAsia="仿宋_GB2312"/>
          <w:color w:val="auto"/>
          <w:sz w:val="32"/>
          <w:szCs w:val="32"/>
        </w:rPr>
      </w:pPr>
      <w:r>
        <w:rPr>
          <w:rFonts w:hint="eastAsia" w:ascii="仿宋_GB2312" w:hAnsi="Calibri" w:eastAsia="仿宋_GB2312"/>
          <w:color w:val="auto"/>
          <w:sz w:val="32"/>
          <w:szCs w:val="32"/>
        </w:rPr>
        <w:t>乙方应于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32"/>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日前预存土地复垦费用，共计</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元（大写：</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乙方应于使用土地期限截止后</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日内落实土地复垦义务，并向丙方提出验收申请。丙方应于接受申请后二十日内协调有关部门开展土地复垦验收工作。</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经验收合格后，乙方可向丙方申请退还预存土地复垦费用，</w:t>
      </w:r>
      <w:r>
        <w:rPr>
          <w:rFonts w:hint="eastAsia" w:ascii="仿宋_GB2312" w:hAnsi="Calibri" w:eastAsia="仿宋_GB2312"/>
          <w:color w:val="auto"/>
          <w:sz w:val="32"/>
          <w:szCs w:val="32"/>
          <w:lang w:eastAsia="zh-CN"/>
        </w:rPr>
        <w:t>丙方应于十日内出具相关证明，同意乙方支取所有费用</w:t>
      </w:r>
      <w:r>
        <w:rPr>
          <w:rFonts w:hint="eastAsia" w:ascii="仿宋_GB2312" w:hAnsi="Calibri" w:eastAsia="仿宋_GB2312"/>
          <w:color w:val="auto"/>
          <w:sz w:val="32"/>
          <w:szCs w:val="32"/>
          <w:highlight w:val="none"/>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第五条   三方权利及义务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（一）甲方的权利和义务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1.享有按时收取流转价款权利；</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2.该土地被依法征用、占用的，有权依法获得相应的土地使用补偿；</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3.不得干涉和破坏乙方的生产与经营。</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（二）乙方的权利和义务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1.项目附属设施用地为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亩（</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平方米），（以下打钩）占总用地面积的比例在5%以内，不超过10亩（工厂化作物栽培项目）</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；或者</w:t>
      </w:r>
      <w:r>
        <w:rPr>
          <w:rFonts w:hint="eastAsia" w:ascii="仿宋_GB2312" w:hAnsi="Calibri" w:eastAsia="仿宋_GB2312"/>
          <w:color w:val="auto"/>
          <w:sz w:val="32"/>
          <w:szCs w:val="32"/>
          <w:lang w:val="en-US" w:eastAsia="zh-CN"/>
        </w:rPr>
        <w:t>10</w:t>
      </w:r>
      <w:r>
        <w:rPr>
          <w:rFonts w:hint="eastAsia" w:ascii="仿宋_GB2312" w:hAnsi="Calibri" w:eastAsia="仿宋_GB2312"/>
          <w:color w:val="auto"/>
          <w:sz w:val="32"/>
          <w:szCs w:val="32"/>
        </w:rPr>
        <w:t>%以内，不超过15亩（规模化畜禽养殖项目</w:t>
      </w:r>
      <w:r>
        <w:rPr>
          <w:rFonts w:hint="eastAsia" w:ascii="仿宋_GB2312" w:hAnsi="Calibri" w:eastAsia="仿宋_GB2312"/>
          <w:color w:val="auto"/>
          <w:sz w:val="32"/>
          <w:szCs w:val="32"/>
          <w:lang w:eastAsia="zh-CN"/>
        </w:rPr>
        <w:t>，其中生猪养殖取消</w:t>
      </w:r>
      <w:r>
        <w:rPr>
          <w:rFonts w:hint="eastAsia" w:ascii="仿宋_GB2312" w:hAnsi="Calibri" w:eastAsia="仿宋_GB2312"/>
          <w:color w:val="auto"/>
          <w:sz w:val="32"/>
          <w:szCs w:val="32"/>
          <w:lang w:val="en-US" w:eastAsia="zh-CN"/>
        </w:rPr>
        <w:t>15亩上限</w:t>
      </w:r>
      <w:r>
        <w:rPr>
          <w:rFonts w:hint="eastAsia" w:ascii="仿宋_GB2312" w:hAnsi="Calibri" w:eastAsia="仿宋_GB2312"/>
          <w:color w:val="auto"/>
          <w:sz w:val="32"/>
          <w:szCs w:val="32"/>
        </w:rPr>
        <w:t>）</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；或者7%以内，不超过10亩（水产养殖项目）</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；配套设施用地为</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亩（</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平方米，规模化粮食生产项目）。</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2.享有该土地的自主生产经营使用权及产品处置收益权；</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3.不得改变该土地的农业用途，不得用于非农建设；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4.保护和合理利用土地，不得给该土地造成永久性损害；</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5.环保方面应按国家标准达标排放；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6.该土地被依法征用、占用</w:t>
      </w:r>
      <w:r>
        <w:rPr>
          <w:rFonts w:hint="eastAsia" w:ascii="仿宋_GB2312" w:hAnsi="Calibri" w:eastAsia="仿宋_GB2312"/>
          <w:color w:val="auto"/>
          <w:sz w:val="32"/>
          <w:szCs w:val="32"/>
          <w:lang w:eastAsia="zh-CN"/>
        </w:rPr>
        <w:t>的</w:t>
      </w:r>
      <w:r>
        <w:rPr>
          <w:rFonts w:hint="eastAsia" w:ascii="仿宋_GB2312" w:hAnsi="Calibri" w:eastAsia="仿宋_GB2312"/>
          <w:color w:val="auto"/>
          <w:sz w:val="32"/>
          <w:szCs w:val="32"/>
        </w:rPr>
        <w:t>，有权依法获得相应的青苗及乙方所搭建的建筑物补偿；</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7.落实土地复垦义务；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8.项目不符合设施农用地有关规定的，及时纠正整改并不动工建设。</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（三）丙方的权利和义务</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1.监督和管理设施农业用地行为，督促纠正不符合技术标准或法规政策规定的用地行为；</w:t>
      </w:r>
    </w:p>
    <w:p>
      <w:pPr>
        <w:adjustRightInd w:val="0"/>
        <w:snapToGrid w:val="0"/>
        <w:spacing w:after="60" w:line="550" w:lineRule="exact"/>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2.在签订《设施农业项目用地协议》之日起</w:t>
      </w:r>
      <w:r>
        <w:rPr>
          <w:rFonts w:ascii="仿宋_GB2312" w:hAnsi="Calibri" w:eastAsia="仿宋_GB2312"/>
          <w:color w:val="auto"/>
          <w:sz w:val="32"/>
          <w:szCs w:val="32"/>
        </w:rPr>
        <w:t>7</w:t>
      </w:r>
      <w:r>
        <w:rPr>
          <w:rFonts w:hint="eastAsia" w:ascii="仿宋_GB2312" w:hAnsi="Calibri" w:eastAsia="仿宋_GB2312"/>
          <w:color w:val="auto"/>
          <w:sz w:val="32"/>
          <w:szCs w:val="32"/>
        </w:rPr>
        <w:t>个工作日内将</w:t>
      </w:r>
      <w:r>
        <w:rPr>
          <w:rFonts w:hint="eastAsia" w:ascii="仿宋_GB2312" w:hAnsi="Calibri" w:eastAsia="仿宋_GB2312"/>
          <w:color w:val="auto"/>
          <w:sz w:val="32"/>
          <w:szCs w:val="32"/>
          <w:lang w:eastAsia="zh-CN"/>
        </w:rPr>
        <w:t>以下资料分别</w:t>
      </w:r>
      <w:r>
        <w:rPr>
          <w:rFonts w:hint="eastAsia" w:ascii="仿宋_GB2312" w:hAnsi="Calibri" w:eastAsia="仿宋_GB2312"/>
          <w:color w:val="auto"/>
          <w:sz w:val="32"/>
          <w:szCs w:val="32"/>
        </w:rPr>
        <w:t>报送</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 w:hAnsi="仿宋" w:eastAsia="仿宋"/>
          <w:color w:val="auto"/>
          <w:sz w:val="32"/>
          <w:szCs w:val="21"/>
          <w:lang w:val="en-US" w:eastAsia="zh-CN"/>
        </w:rPr>
        <w:t>1）</w:t>
      </w:r>
      <w:r>
        <w:rPr>
          <w:rFonts w:hint="eastAsia" w:ascii="仿宋" w:hAnsi="仿宋" w:eastAsia="仿宋"/>
          <w:color w:val="auto"/>
          <w:sz w:val="32"/>
          <w:szCs w:val="21"/>
        </w:rPr>
        <w:t>《设施农业项目用地协议》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2）</w:t>
      </w:r>
      <w:r>
        <w:rPr>
          <w:rFonts w:hint="eastAsia" w:ascii="仿宋" w:hAnsi="仿宋" w:eastAsia="仿宋"/>
          <w:color w:val="auto"/>
          <w:sz w:val="32"/>
          <w:szCs w:val="21"/>
        </w:rPr>
        <w:t>《设施建设方案》</w:t>
      </w:r>
      <w:r>
        <w:rPr>
          <w:rFonts w:hint="eastAsia" w:ascii="仿宋" w:hAnsi="仿宋" w:eastAsia="仿宋"/>
          <w:color w:val="auto"/>
          <w:sz w:val="32"/>
          <w:szCs w:val="21"/>
          <w:lang w:eastAsia="zh-CN"/>
        </w:rPr>
        <w:t>或</w:t>
      </w:r>
      <w:r>
        <w:rPr>
          <w:rFonts w:ascii="仿宋" w:hAnsi="仿宋" w:eastAsia="仿宋"/>
          <w:color w:val="auto"/>
          <w:sz w:val="32"/>
          <w:szCs w:val="21"/>
        </w:rPr>
        <w:t>《广东省设施农用地建设方案报告表》</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3）</w:t>
      </w:r>
      <w:r>
        <w:rPr>
          <w:rFonts w:hint="eastAsia" w:ascii="仿宋" w:hAnsi="仿宋" w:eastAsia="仿宋"/>
          <w:color w:val="auto"/>
          <w:sz w:val="32"/>
          <w:szCs w:val="21"/>
        </w:rPr>
        <w:t>《土地使用条件》</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4）</w:t>
      </w:r>
      <w:r>
        <w:rPr>
          <w:rFonts w:hint="eastAsia" w:ascii="仿宋" w:hAnsi="仿宋" w:eastAsia="仿宋"/>
          <w:color w:val="auto"/>
          <w:sz w:val="32"/>
          <w:szCs w:val="21"/>
        </w:rPr>
        <w:t>《土地复垦方案》</w:t>
      </w:r>
      <w:r>
        <w:rPr>
          <w:rFonts w:hint="eastAsia" w:ascii="仿宋" w:hAnsi="仿宋" w:eastAsia="仿宋"/>
          <w:color w:val="auto"/>
          <w:sz w:val="32"/>
          <w:szCs w:val="21"/>
          <w:lang w:eastAsia="zh-CN"/>
        </w:rPr>
        <w:t>或</w:t>
      </w:r>
      <w:r>
        <w:rPr>
          <w:rFonts w:hint="eastAsia" w:ascii="仿宋" w:hAnsi="仿宋" w:eastAsia="仿宋"/>
          <w:color w:val="auto"/>
          <w:sz w:val="32"/>
          <w:szCs w:val="21"/>
        </w:rPr>
        <w:t>《土地复垦承诺计划书》</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15亩以上设施农用地项目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5）</w:t>
      </w:r>
      <w:r>
        <w:rPr>
          <w:rFonts w:hint="eastAsia" w:ascii="仿宋" w:hAnsi="仿宋" w:eastAsia="仿宋"/>
          <w:color w:val="auto"/>
          <w:sz w:val="32"/>
          <w:szCs w:val="21"/>
        </w:rPr>
        <w:t>《土地复垦费用使用监管协议》</w:t>
      </w:r>
      <w:r>
        <w:rPr>
          <w:rFonts w:hint="eastAsia" w:ascii="仿宋" w:hAnsi="仿宋" w:eastAsia="仿宋"/>
          <w:color w:val="auto"/>
          <w:sz w:val="32"/>
          <w:szCs w:val="21"/>
          <w:lang w:eastAsia="zh-CN"/>
        </w:rPr>
        <w:t>或《</w:t>
      </w:r>
      <w:r>
        <w:rPr>
          <w:rFonts w:ascii="仿宋" w:hAnsi="仿宋" w:eastAsia="仿宋"/>
          <w:color w:val="auto"/>
          <w:sz w:val="32"/>
          <w:szCs w:val="21"/>
        </w:rPr>
        <w:t>土地复垦监管协议</w:t>
      </w:r>
      <w:r>
        <w:rPr>
          <w:rFonts w:hint="eastAsia" w:ascii="仿宋" w:hAnsi="仿宋" w:eastAsia="仿宋"/>
          <w:color w:val="auto"/>
          <w:sz w:val="32"/>
          <w:szCs w:val="21"/>
          <w:lang w:eastAsia="zh-CN"/>
        </w:rPr>
        <w:t>》；（</w:t>
      </w:r>
      <w:r>
        <w:rPr>
          <w:rFonts w:hint="eastAsia" w:ascii="仿宋" w:hAnsi="仿宋" w:eastAsia="仿宋"/>
          <w:color w:val="auto"/>
          <w:sz w:val="32"/>
          <w:szCs w:val="21"/>
          <w:lang w:val="en-US" w:eastAsia="zh-CN"/>
        </w:rPr>
        <w:t>6）</w:t>
      </w:r>
      <w:r>
        <w:rPr>
          <w:rFonts w:hint="eastAsia" w:ascii="仿宋" w:hAnsi="仿宋" w:eastAsia="仿宋"/>
          <w:color w:val="auto"/>
          <w:sz w:val="32"/>
          <w:szCs w:val="21"/>
        </w:rPr>
        <w:t>土地复垦费用预存证明</w:t>
      </w:r>
      <w:r>
        <w:rPr>
          <w:rFonts w:hint="eastAsia" w:ascii="仿宋" w:hAnsi="仿宋" w:eastAsia="仿宋"/>
          <w:color w:val="auto"/>
          <w:sz w:val="32"/>
          <w:szCs w:val="21"/>
          <w:lang w:eastAsia="zh-CN"/>
        </w:rPr>
        <w:t>或</w:t>
      </w:r>
      <w:r>
        <w:rPr>
          <w:rFonts w:ascii="仿宋" w:hAnsi="仿宋" w:eastAsia="仿宋"/>
          <w:color w:val="auto"/>
          <w:sz w:val="32"/>
          <w:szCs w:val="21"/>
        </w:rPr>
        <w:t>《见索即付履约保函》</w:t>
      </w:r>
      <w:r>
        <w:rPr>
          <w:rFonts w:hint="eastAsia" w:ascii="仿宋" w:hAnsi="仿宋" w:eastAsia="仿宋"/>
          <w:color w:val="auto"/>
          <w:sz w:val="32"/>
          <w:szCs w:val="21"/>
          <w:lang w:eastAsia="zh-CN"/>
        </w:rPr>
        <w:t>。</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3.监督</w:t>
      </w:r>
      <w:r>
        <w:rPr>
          <w:rFonts w:hint="eastAsia" w:ascii="仿宋_GB2312" w:hAnsi="Calibri" w:eastAsia="仿宋_GB2312"/>
          <w:color w:val="auto"/>
          <w:sz w:val="32"/>
          <w:szCs w:val="32"/>
          <w:lang w:eastAsia="zh-CN"/>
        </w:rPr>
        <w:t>设施农业</w:t>
      </w:r>
      <w:r>
        <w:rPr>
          <w:rFonts w:hint="eastAsia" w:ascii="仿宋_GB2312" w:hAnsi="Calibri" w:eastAsia="仿宋_GB2312"/>
          <w:color w:val="auto"/>
          <w:sz w:val="32"/>
          <w:szCs w:val="32"/>
        </w:rPr>
        <w:t>经营者按照协议约定具体实施农业设施建设，落实土地复垦责任；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4.协调政府有关部门做好土地复垦验收工作；</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5.用地协商的过程中，征求</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_GB2312" w:hAnsi="Calibri" w:eastAsia="仿宋_GB2312"/>
          <w:color w:val="auto"/>
          <w:sz w:val="32"/>
          <w:szCs w:val="32"/>
        </w:rPr>
        <w:t>的意见，认真研究反馈意见并及时、完整地告知甲、乙双方。</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第六条   违约责任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（一）甲方应按时向乙方交付土地、逾期</w:t>
      </w:r>
      <w:r>
        <w:rPr>
          <w:rFonts w:hint="eastAsia" w:ascii="仿宋_GB2312" w:hAnsi="Calibri" w:eastAsia="仿宋_GB2312"/>
          <w:color w:val="auto"/>
          <w:sz w:val="32"/>
          <w:szCs w:val="32"/>
          <w:lang w:eastAsia="zh-CN"/>
        </w:rPr>
        <w:t>一</w:t>
      </w:r>
      <w:r>
        <w:rPr>
          <w:rFonts w:hint="eastAsia" w:ascii="仿宋_GB2312" w:hAnsi="Calibri" w:eastAsia="仿宋_GB2312"/>
          <w:color w:val="auto"/>
          <w:sz w:val="32"/>
          <w:szCs w:val="32"/>
        </w:rPr>
        <w:t>日甲方应向乙方支付流转价款的</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%作为滞纳金。逾期</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日视为甲方单方违约，应双倍返还乙方所交定金，给乙方造成实际损失的，甲方还应承担赔偿责任。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（二）甲方擅自干涉和破坏乙方生产与经营，使乙方无法进行正常的生产经营活动的，乙方有权单方解除合同，甲方应双倍返还乙方所交合同定金，造成实际损失的，还应承担赔偿责任。</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（三）项目附属用地和配套设施用地面积或占总用地面积比例超过本协议约定，由乙方自行负责整改达到要求，并承担相应的行政处罚。</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（四）项目不符合设施农用地有关规定而动工建设的，由乙方自行负责整改达到要求，并承担相应的行政处罚。</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（五）乙方应按时足额向甲方支付土地使用价款，逾期</w:t>
      </w:r>
      <w:r>
        <w:rPr>
          <w:rFonts w:hint="eastAsia" w:ascii="仿宋_GB2312" w:hAnsi="Calibri" w:eastAsia="仿宋_GB2312"/>
          <w:color w:val="auto"/>
          <w:sz w:val="32"/>
          <w:szCs w:val="32"/>
          <w:lang w:eastAsia="zh-CN"/>
        </w:rPr>
        <w:t>一</w:t>
      </w:r>
      <w:r>
        <w:rPr>
          <w:rFonts w:hint="eastAsia" w:ascii="仿宋_GB2312" w:hAnsi="Calibri" w:eastAsia="仿宋_GB2312"/>
          <w:color w:val="auto"/>
          <w:sz w:val="32"/>
          <w:szCs w:val="32"/>
        </w:rPr>
        <w:t>日乙方应向甲方支付应付款的</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32"/>
        </w:rPr>
        <w:t>%作为滞纳金。逾期</w:t>
      </w:r>
      <w:r>
        <w:rPr>
          <w:rFonts w:hint="eastAsia" w:ascii="仿宋_GB2312" w:hAnsi="Calibri" w:eastAsia="仿宋_GB2312"/>
          <w:color w:val="auto"/>
          <w:sz w:val="32"/>
          <w:szCs w:val="28"/>
          <w:u w:val="single"/>
        </w:rPr>
        <w:t xml:space="preserve"> </w:t>
      </w:r>
      <w:r>
        <w:rPr>
          <w:rFonts w:ascii="仿宋_GB2312" w:hAnsi="Calibri" w:eastAsia="仿宋_GB2312"/>
          <w:color w:val="auto"/>
          <w:sz w:val="32"/>
          <w:szCs w:val="28"/>
          <w:u w:val="single"/>
        </w:rPr>
        <w:t xml:space="preserve">   </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日视为乙方单方面违约，甲方有权收回该土地使用权及没收乙方已有投资、地上建筑物等。</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（六）乙方擅自改变该土地用途或不合理使用土地给该土地造成永久性损害的，经农业农村</w:t>
      </w:r>
      <w:r>
        <w:rPr>
          <w:rFonts w:hint="eastAsia" w:ascii="仿宋_GB2312" w:hAnsi="Calibri" w:eastAsia="仿宋_GB2312"/>
          <w:color w:val="auto"/>
          <w:sz w:val="32"/>
          <w:szCs w:val="32"/>
          <w:lang w:eastAsia="zh-CN"/>
        </w:rPr>
        <w:t>主管部门</w:t>
      </w:r>
      <w:r>
        <w:rPr>
          <w:rFonts w:hint="eastAsia" w:ascii="仿宋_GB2312" w:hAnsi="Calibri" w:eastAsia="仿宋_GB2312"/>
          <w:color w:val="auto"/>
          <w:sz w:val="32"/>
          <w:szCs w:val="32"/>
        </w:rPr>
        <w:t>会相关部门确认后，应承担土地功能恢复责任，无法全部恢复的，乙方应承担赔偿责任，甲方有权收回该土地使用权及没收合同定金。</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第七条   争议解决</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甲乙双方因履行本协议发生纠纷的，应由丙方调解，调解不成时，采取以下第</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种解决方式：</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（一）向</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仲裁委员会申请仲裁；</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（二）向</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人民法院申请诉讼。</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第八条   附则</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本协议如有未尽事宜，经三方平等协商后可在补充栏目中（附后）完善协议内容并与本协议具有同等法律效力。</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本协议自</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年</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月</w:t>
      </w:r>
      <w:r>
        <w:rPr>
          <w:rFonts w:hint="eastAsia" w:ascii="仿宋_GB2312" w:hAnsi="Calibri" w:eastAsia="仿宋_GB2312"/>
          <w:color w:val="auto"/>
          <w:sz w:val="32"/>
          <w:szCs w:val="28"/>
          <w:u w:val="single"/>
        </w:rPr>
        <w:t xml:space="preserve">    </w:t>
      </w:r>
      <w:r>
        <w:rPr>
          <w:rFonts w:hint="eastAsia" w:ascii="仿宋_GB2312" w:hAnsi="Calibri" w:eastAsia="仿宋_GB2312"/>
          <w:color w:val="auto"/>
          <w:sz w:val="32"/>
          <w:szCs w:val="32"/>
        </w:rPr>
        <w:t>日起生效，一式五份，甲乙丙三方、</w:t>
      </w:r>
      <w:r>
        <w:rPr>
          <w:rFonts w:hint="eastAsia" w:ascii="仿宋" w:hAnsi="仿宋" w:eastAsia="仿宋"/>
          <w:color w:val="auto"/>
          <w:sz w:val="32"/>
          <w:szCs w:val="21"/>
        </w:rPr>
        <w:t>市规划和自然资源局区分局、区农业农村</w:t>
      </w:r>
      <w:r>
        <w:rPr>
          <w:rFonts w:hint="eastAsia" w:ascii="仿宋" w:hAnsi="仿宋" w:eastAsia="仿宋"/>
          <w:color w:val="auto"/>
          <w:sz w:val="32"/>
          <w:szCs w:val="21"/>
          <w:lang w:eastAsia="zh-CN"/>
        </w:rPr>
        <w:t>主管部门</w:t>
      </w:r>
      <w:r>
        <w:rPr>
          <w:rFonts w:hint="eastAsia" w:ascii="仿宋_GB2312" w:hAnsi="Calibri" w:eastAsia="仿宋_GB2312"/>
          <w:color w:val="auto"/>
          <w:sz w:val="32"/>
          <w:szCs w:val="32"/>
        </w:rPr>
        <w:t>各一份。</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甲方：    （签字盖章）</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乙方：    （签字盖章）</w:t>
      </w:r>
    </w:p>
    <w:p>
      <w:pPr>
        <w:spacing w:line="360" w:lineRule="auto"/>
        <w:ind w:firstLine="640" w:firstLineChars="200"/>
        <w:rPr>
          <w:rFonts w:ascii="仿宋_GB2312" w:hAnsi="Calibri" w:eastAsia="仿宋_GB2312"/>
          <w:color w:val="auto"/>
          <w:sz w:val="32"/>
          <w:szCs w:val="32"/>
        </w:rPr>
      </w:pPr>
      <w:r>
        <w:rPr>
          <w:rFonts w:hint="eastAsia" w:ascii="仿宋_GB2312" w:hAnsi="Calibri" w:eastAsia="仿宋_GB2312"/>
          <w:color w:val="auto"/>
          <w:sz w:val="32"/>
          <w:szCs w:val="32"/>
        </w:rPr>
        <w:t>丙方：    （签字盖章）</w:t>
      </w:r>
    </w:p>
    <w:p>
      <w:pPr>
        <w:spacing w:line="360" w:lineRule="auto"/>
        <w:ind w:firstLine="640" w:firstLineChars="200"/>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r>
        <w:rPr>
          <w:rFonts w:hint="eastAsia" w:ascii="仿宋_GB2312" w:hAnsi="Calibri" w:eastAsia="仿宋_GB2312"/>
          <w:color w:val="auto"/>
          <w:sz w:val="32"/>
          <w:szCs w:val="32"/>
        </w:rPr>
        <w:t>签订日期：    年  月  日</w:t>
      </w:r>
    </w:p>
    <w:p>
      <w:pPr>
        <w:spacing w:line="360" w:lineRule="auto"/>
        <w:rPr>
          <w:rFonts w:ascii="仿宋_GB2312" w:hAnsi="Calibri" w:eastAsia="仿宋_GB2312"/>
          <w:color w:val="auto"/>
          <w:sz w:val="32"/>
          <w:szCs w:val="32"/>
        </w:rPr>
      </w:pPr>
      <w:r>
        <w:rPr>
          <w:rFonts w:ascii="仿宋_GB2312" w:hAnsi="Calibri" w:eastAsia="仿宋_GB2312"/>
          <w:color w:val="auto"/>
          <w:sz w:val="32"/>
          <w:szCs w:val="32"/>
        </w:rPr>
        <w:br w:type="page"/>
      </w:r>
      <w:r>
        <w:rPr>
          <w:rFonts w:hint="eastAsia" w:ascii="仿宋_GB2312" w:hAnsi="Calibri" w:eastAsia="仿宋_GB2312"/>
          <w:color w:val="auto"/>
          <w:sz w:val="32"/>
          <w:szCs w:val="32"/>
        </w:rPr>
        <w:t>附：补充栏目</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trPr>
        <w:tc>
          <w:tcPr>
            <w:tcW w:w="8296" w:type="dxa"/>
            <w:vAlign w:val="top"/>
          </w:tcPr>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甲方签字：</w:t>
            </w: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乙方签字：</w:t>
            </w:r>
          </w:p>
          <w:p>
            <w:pPr>
              <w:spacing w:line="360" w:lineRule="auto"/>
              <w:rPr>
                <w:rFonts w:ascii="仿宋_GB2312" w:hAnsi="Calibri" w:eastAsia="仿宋_GB2312"/>
                <w:color w:val="auto"/>
                <w:sz w:val="32"/>
                <w:szCs w:val="32"/>
              </w:rPr>
            </w:pPr>
          </w:p>
          <w:p>
            <w:pPr>
              <w:spacing w:line="360" w:lineRule="auto"/>
              <w:rPr>
                <w:rFonts w:ascii="仿宋_GB2312" w:hAnsi="Calibri" w:eastAsia="仿宋_GB2312"/>
                <w:color w:val="auto"/>
                <w:sz w:val="32"/>
                <w:szCs w:val="32"/>
              </w:rPr>
            </w:pPr>
            <w:r>
              <w:rPr>
                <w:rFonts w:hint="eastAsia" w:ascii="仿宋_GB2312" w:hAnsi="Calibri" w:eastAsia="仿宋_GB2312"/>
                <w:color w:val="auto"/>
                <w:sz w:val="32"/>
                <w:szCs w:val="32"/>
              </w:rPr>
              <w:t>丙方签字：</w:t>
            </w:r>
          </w:p>
          <w:p>
            <w:pPr>
              <w:spacing w:line="360" w:lineRule="auto"/>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p>
          <w:p>
            <w:pPr>
              <w:spacing w:line="360" w:lineRule="auto"/>
              <w:jc w:val="right"/>
              <w:rPr>
                <w:rFonts w:ascii="仿宋_GB2312" w:hAnsi="Calibri" w:eastAsia="仿宋_GB2312"/>
                <w:color w:val="auto"/>
                <w:sz w:val="32"/>
                <w:szCs w:val="32"/>
              </w:rPr>
            </w:pPr>
            <w:r>
              <w:rPr>
                <w:rFonts w:hint="eastAsia" w:ascii="仿宋_GB2312" w:hAnsi="Calibri" w:eastAsia="仿宋_GB2312"/>
                <w:color w:val="auto"/>
                <w:sz w:val="32"/>
                <w:szCs w:val="32"/>
              </w:rPr>
              <w:t xml:space="preserve"> 年     月    日</w:t>
            </w:r>
          </w:p>
        </w:tc>
      </w:tr>
    </w:tbl>
    <w:p>
      <w:pPr>
        <w:spacing w:line="520" w:lineRule="exact"/>
        <w:jc w:val="left"/>
        <w:rPr>
          <w:rFonts w:ascii="仿宋_GB2312" w:hAnsi="宋体" w:eastAsia="仿宋_GB2312"/>
          <w:color w:val="auto"/>
          <w:sz w:val="32"/>
          <w:szCs w:val="28"/>
        </w:rPr>
      </w:pPr>
      <w:r>
        <w:rPr>
          <w:rFonts w:ascii="仿宋_GB2312" w:hAnsi="宋体" w:eastAsia="仿宋_GB2312"/>
          <w:color w:val="auto"/>
          <w:sz w:val="32"/>
          <w:szCs w:val="28"/>
        </w:rPr>
        <w:br w:type="page"/>
      </w:r>
      <w:r>
        <w:rPr>
          <w:rFonts w:hint="eastAsia" w:ascii="仿宋_GB2312" w:hAnsi="宋体" w:eastAsia="仿宋_GB2312"/>
          <w:color w:val="auto"/>
          <w:sz w:val="32"/>
          <w:szCs w:val="28"/>
        </w:rPr>
        <w:t>宗地</w:t>
      </w:r>
      <w:r>
        <w:rPr>
          <w:rFonts w:ascii="仿宋_GB2312" w:hAnsi="宋体" w:eastAsia="仿宋_GB2312"/>
          <w:color w:val="auto"/>
          <w:sz w:val="32"/>
          <w:szCs w:val="28"/>
        </w:rPr>
        <w:t>图</w:t>
      </w:r>
      <w:r>
        <w:rPr>
          <w:rFonts w:hint="eastAsia" w:ascii="仿宋_GB2312" w:hAnsi="宋体" w:eastAsia="仿宋_GB2312"/>
          <w:color w:val="auto"/>
          <w:sz w:val="32"/>
          <w:szCs w:val="28"/>
        </w:rPr>
        <w:t>1</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项目</w:t>
      </w:r>
      <w:r>
        <w:rPr>
          <w:rFonts w:ascii="黑体" w:hAnsi="黑体" w:eastAsia="黑体"/>
          <w:color w:val="auto"/>
          <w:sz w:val="32"/>
          <w:szCs w:val="28"/>
        </w:rPr>
        <w:t>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1.项目用地宗地图应采用最新的土地利用现状图（局部）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2.项目用地红线坐标采用2000国家大地坐标系，高斯克吕格投影方式，3度分带（中央经线分别为111°、114°、117°）。</w:t>
      </w:r>
    </w:p>
    <w:p>
      <w:pPr>
        <w:spacing w:line="520" w:lineRule="exact"/>
        <w:jc w:val="left"/>
        <w:rPr>
          <w:rFonts w:ascii="仿宋_GB2312" w:hAnsi="宋体" w:eastAsia="仿宋_GB2312"/>
          <w:color w:val="auto"/>
          <w:sz w:val="32"/>
          <w:szCs w:val="28"/>
        </w:rPr>
      </w:pPr>
      <w:r>
        <w:rPr>
          <w:rFonts w:ascii="仿宋_GB2312" w:hAnsi="宋体" w:eastAsia="仿宋_GB2312"/>
          <w:color w:val="auto"/>
          <w:sz w:val="32"/>
          <w:szCs w:val="28"/>
        </w:rPr>
        <w:br w:type="page"/>
      </w:r>
      <w:r>
        <w:rPr>
          <w:rFonts w:hint="eastAsia" w:ascii="仿宋_GB2312" w:hAnsi="宋体" w:eastAsia="仿宋_GB2312"/>
          <w:color w:val="auto"/>
          <w:sz w:val="32"/>
          <w:szCs w:val="28"/>
        </w:rPr>
        <w:t>宗地图2</w:t>
      </w:r>
    </w:p>
    <w:p>
      <w:pPr>
        <w:spacing w:line="520" w:lineRule="exact"/>
        <w:jc w:val="center"/>
        <w:rPr>
          <w:rFonts w:ascii="黑体" w:hAnsi="黑体" w:eastAsia="黑体"/>
          <w:color w:val="auto"/>
          <w:sz w:val="32"/>
          <w:szCs w:val="28"/>
        </w:rPr>
      </w:pPr>
      <w:r>
        <w:rPr>
          <w:rFonts w:hint="eastAsia" w:ascii="黑体" w:hAnsi="黑体" w:eastAsia="黑体"/>
          <w:color w:val="auto"/>
          <w:sz w:val="32"/>
          <w:szCs w:val="28"/>
        </w:rPr>
        <w:t>农业</w:t>
      </w:r>
      <w:r>
        <w:rPr>
          <w:rFonts w:ascii="黑体" w:hAnsi="黑体" w:eastAsia="黑体"/>
          <w:color w:val="auto"/>
          <w:sz w:val="32"/>
          <w:szCs w:val="28"/>
        </w:rPr>
        <w:t>设施宗地图</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r>
        <w:rPr>
          <w:rFonts w:hint="eastAsia" w:ascii="宋体" w:hAnsi="宋体" w:eastAsia="宋体"/>
          <w:color w:val="auto"/>
          <w:sz w:val="28"/>
          <w:szCs w:val="28"/>
        </w:rPr>
        <w:t>（贴图</w:t>
      </w:r>
      <w:r>
        <w:rPr>
          <w:rFonts w:ascii="宋体" w:hAnsi="宋体" w:eastAsia="宋体"/>
          <w:color w:val="auto"/>
          <w:sz w:val="28"/>
          <w:szCs w:val="28"/>
        </w:rPr>
        <w:t>件处</w:t>
      </w:r>
      <w:r>
        <w:rPr>
          <w:rFonts w:hint="eastAsia" w:ascii="宋体" w:hAnsi="宋体" w:eastAsia="宋体"/>
          <w:color w:val="auto"/>
          <w:sz w:val="28"/>
          <w:szCs w:val="28"/>
        </w:rPr>
        <w:t>）</w:t>
      </w: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jc w:val="center"/>
        <w:rPr>
          <w:rFonts w:ascii="宋体" w:hAnsi="宋体" w:eastAsia="宋体"/>
          <w:color w:val="auto"/>
          <w:sz w:val="28"/>
          <w:szCs w:val="28"/>
        </w:rPr>
      </w:pPr>
    </w:p>
    <w:p>
      <w:pPr>
        <w:spacing w:line="520" w:lineRule="exact"/>
        <w:rPr>
          <w:rFonts w:ascii="宋体" w:hAnsi="宋体" w:eastAsia="宋体"/>
          <w:color w:val="auto"/>
          <w:sz w:val="28"/>
          <w:szCs w:val="28"/>
        </w:rPr>
      </w:pPr>
    </w:p>
    <w:p>
      <w:pPr>
        <w:spacing w:line="520" w:lineRule="exact"/>
        <w:rPr>
          <w:rFonts w:ascii="仿宋_GB2312" w:hAnsi="宋体" w:eastAsia="仿宋_GB2312"/>
          <w:color w:val="auto"/>
          <w:sz w:val="32"/>
          <w:szCs w:val="32"/>
        </w:rPr>
      </w:pPr>
      <w:r>
        <w:rPr>
          <w:rFonts w:hint="eastAsia" w:ascii="仿宋_GB2312" w:hAnsi="宋体" w:eastAsia="仿宋_GB2312"/>
          <w:color w:val="auto"/>
          <w:sz w:val="32"/>
          <w:szCs w:val="32"/>
        </w:rPr>
        <w:t>说明</w:t>
      </w:r>
      <w:r>
        <w:rPr>
          <w:rFonts w:ascii="仿宋_GB2312" w:hAnsi="宋体" w:eastAsia="仿宋_GB2312"/>
          <w:color w:val="auto"/>
          <w:sz w:val="32"/>
          <w:szCs w:val="32"/>
        </w:rPr>
        <w:t>：</w:t>
      </w:r>
    </w:p>
    <w:p>
      <w:pPr>
        <w:spacing w:line="520" w:lineRule="exact"/>
        <w:rPr>
          <w:rFonts w:ascii="仿宋_GB2312" w:hAnsi="宋体" w:eastAsia="仿宋_GB2312"/>
          <w:color w:val="auto"/>
          <w:sz w:val="32"/>
          <w:szCs w:val="32"/>
        </w:rPr>
      </w:pPr>
      <w:r>
        <w:rPr>
          <w:rFonts w:ascii="仿宋_GB2312" w:hAnsi="宋体" w:eastAsia="仿宋_GB2312"/>
          <w:color w:val="auto"/>
          <w:sz w:val="32"/>
          <w:szCs w:val="32"/>
        </w:rPr>
        <w:t>1.农业设施宗地图应采用最新的土地利用现状图（局部）</w:t>
      </w:r>
      <w:r>
        <w:rPr>
          <w:rFonts w:hint="eastAsia" w:ascii="仿宋_GB2312" w:hAnsi="宋体" w:eastAsia="仿宋_GB2312"/>
          <w:color w:val="auto"/>
          <w:sz w:val="32"/>
          <w:szCs w:val="32"/>
        </w:rPr>
        <w:t>作为底图</w:t>
      </w:r>
      <w:r>
        <w:rPr>
          <w:rFonts w:ascii="仿宋_GB2312" w:hAnsi="宋体" w:eastAsia="仿宋_GB2312"/>
          <w:color w:val="auto"/>
          <w:sz w:val="32"/>
          <w:szCs w:val="32"/>
        </w:rPr>
        <w:t>。</w:t>
      </w:r>
      <w:r>
        <w:rPr>
          <w:rFonts w:hint="eastAsia" w:ascii="仿宋_GB2312" w:hAnsi="宋体" w:eastAsia="仿宋_GB2312"/>
          <w:color w:val="auto"/>
          <w:sz w:val="32"/>
          <w:szCs w:val="32"/>
        </w:rPr>
        <w:t>参考第三次全国国土调查技术规程、土地利用现状分类标准和土地勘测定界规程，</w:t>
      </w:r>
      <w:r>
        <w:rPr>
          <w:rFonts w:ascii="仿宋_GB2312" w:hAnsi="宋体" w:eastAsia="仿宋_GB2312"/>
          <w:color w:val="auto"/>
          <w:sz w:val="32"/>
          <w:szCs w:val="32"/>
        </w:rPr>
        <w:t>图面顶端为图件名称和1:10000标准分幅图图幅号，左下角或左上角空白处加注图例，右下角加注主要坐标点坐标。底端左下角空白处加注制图员和制图日期，底端右下角空白处加盖市规划和自然资源局区分局公章及盖章日期。</w:t>
      </w:r>
    </w:p>
    <w:p>
      <w:r>
        <w:rPr>
          <w:rFonts w:ascii="仿宋_GB2312" w:hAnsi="宋体" w:eastAsia="仿宋_GB2312"/>
          <w:color w:val="auto"/>
          <w:sz w:val="32"/>
          <w:szCs w:val="32"/>
        </w:rPr>
        <w:t>2.农业设施红线坐标采用2000国家大地坐标系，高斯克吕格投影方式，3度分带（中央经线分别为111°、114°、117°）。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A4889"/>
    <w:rsid w:val="0EDA4889"/>
    <w:rsid w:val="1F52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2019-12-10T09:45:00Z</dcterms:created>
  <dc:creator>安诗芳</dc:creator>
  <cp:lastModifiedBy>安诗芳</cp:lastModifiedBy>
  <dcterms:modified xsi:type="dcterms:W3CDTF">2019-12-10T09:45:33Z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