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6</w:t>
      </w:r>
    </w:p>
    <w:p>
      <w:pPr>
        <w:jc w:val="center"/>
        <w:rPr>
          <w:rFonts w:ascii="Times New Roman" w:hAnsi="Times New Roman" w:eastAsia="宋体"/>
          <w:b/>
          <w:color w:val="auto"/>
          <w:kern w:val="21"/>
          <w:sz w:val="32"/>
          <w:szCs w:val="32"/>
        </w:rPr>
      </w:pPr>
      <w:r>
        <w:rPr>
          <w:rFonts w:hint="eastAsia" w:ascii="Calibri" w:hAnsi="Calibri" w:eastAsia="宋体"/>
          <w:b/>
          <w:color w:val="auto"/>
          <w:sz w:val="44"/>
        </w:rPr>
        <w:t>广东省</w:t>
      </w:r>
      <w:r>
        <w:rPr>
          <w:rFonts w:ascii="Calibri" w:hAnsi="Calibri" w:eastAsia="宋体"/>
          <w:b/>
          <w:color w:val="auto"/>
          <w:sz w:val="44"/>
        </w:rPr>
        <w:t>设施农用地</w:t>
      </w:r>
      <w:r>
        <w:rPr>
          <w:rFonts w:hint="eastAsia" w:ascii="Calibri" w:hAnsi="Calibri" w:eastAsia="宋体"/>
          <w:b/>
          <w:color w:val="auto"/>
          <w:sz w:val="44"/>
        </w:rPr>
        <w:t>建设</w:t>
      </w:r>
      <w:r>
        <w:rPr>
          <w:rFonts w:ascii="Calibri" w:hAnsi="Calibri" w:eastAsia="宋体"/>
          <w:b/>
          <w:color w:val="auto"/>
          <w:sz w:val="44"/>
        </w:rPr>
        <w:t>方案报告表</w:t>
      </w:r>
    </w:p>
    <w:tbl>
      <w:tblPr>
        <w:tblStyle w:val="3"/>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473"/>
        <w:gridCol w:w="205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192" w:type="dxa"/>
            <w:vMerge w:val="restart"/>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基本情况</w:t>
            </w:r>
          </w:p>
        </w:tc>
        <w:tc>
          <w:tcPr>
            <w:tcW w:w="1473" w:type="dxa"/>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设施农用地名称</w:t>
            </w:r>
          </w:p>
        </w:tc>
        <w:tc>
          <w:tcPr>
            <w:tcW w:w="5730" w:type="dxa"/>
            <w:gridSpan w:val="2"/>
            <w:vAlign w:val="center"/>
          </w:tcPr>
          <w:p>
            <w:pPr>
              <w:widowControl/>
              <w:spacing w:line="550" w:lineRule="exact"/>
              <w:rPr>
                <w:rFonts w:hint="eastAsia" w:ascii="仿宋_GB2312" w:hAnsi="仿宋_GB2312" w:eastAsia="仿宋_GB2312" w:cs="仿宋_GB2312"/>
                <w:color w:val="auto"/>
                <w:kern w:val="2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192"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设施农用地四至坐落</w:t>
            </w:r>
          </w:p>
        </w:tc>
        <w:tc>
          <w:tcPr>
            <w:tcW w:w="5730" w:type="dxa"/>
            <w:gridSpan w:val="2"/>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设施农用地位于</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村/经济社；</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其中东至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，南至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，西至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，北至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。（详见附图）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92"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设施农用地面积</w:t>
            </w:r>
          </w:p>
        </w:tc>
        <w:tc>
          <w:tcPr>
            <w:tcW w:w="5730" w:type="dxa"/>
            <w:gridSpan w:val="2"/>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共</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其中生产设施</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亩，配套设施</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亩，附属设施</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92"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Merge w:val="restart"/>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设施农用地权属情况</w:t>
            </w:r>
          </w:p>
        </w:tc>
        <w:tc>
          <w:tcPr>
            <w:tcW w:w="5730" w:type="dxa"/>
            <w:gridSpan w:val="2"/>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设施农用地所有权人为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92"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Merge w:val="continue"/>
            <w:vAlign w:val="center"/>
          </w:tcPr>
          <w:p>
            <w:pPr>
              <w:widowControl/>
              <w:spacing w:line="550" w:lineRule="exact"/>
              <w:jc w:val="center"/>
              <w:rPr>
                <w:rFonts w:hint="eastAsia" w:ascii="仿宋_GB2312" w:hAnsi="仿宋_GB2312" w:eastAsia="仿宋_GB2312" w:cs="仿宋_GB2312"/>
                <w:color w:val="auto"/>
                <w:kern w:val="21"/>
                <w:sz w:val="22"/>
                <w:szCs w:val="22"/>
              </w:rPr>
            </w:pPr>
          </w:p>
        </w:tc>
        <w:tc>
          <w:tcPr>
            <w:tcW w:w="5730" w:type="dxa"/>
            <w:gridSpan w:val="2"/>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设施农用地经营权人为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192"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设施农用地使用期限</w:t>
            </w:r>
          </w:p>
        </w:tc>
        <w:tc>
          <w:tcPr>
            <w:tcW w:w="5730" w:type="dxa"/>
            <w:gridSpan w:val="2"/>
            <w:vAlign w:val="center"/>
          </w:tcPr>
          <w:p>
            <w:pPr>
              <w:widowControl/>
              <w:spacing w:line="550" w:lineRule="exact"/>
              <w:jc w:val="lef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从</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日至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日，共</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192"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土地利用现状</w:t>
            </w:r>
          </w:p>
        </w:tc>
        <w:tc>
          <w:tcPr>
            <w:tcW w:w="7203" w:type="dxa"/>
            <w:gridSpan w:val="3"/>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二级地类为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，面积为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192"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土地损毁类型</w:t>
            </w:r>
          </w:p>
        </w:tc>
        <w:tc>
          <w:tcPr>
            <w:tcW w:w="7203" w:type="dxa"/>
            <w:gridSpan w:val="3"/>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设施农用地属于(已建设/拟建设)，对土地造成的损毁类型为 (挖损/压占/污染)，面积</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亩，(是/否)在设施农用地搭建临时建筑，建筑面积约</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亩，建筑材料主要为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192"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预期复垦方向</w:t>
            </w:r>
          </w:p>
        </w:tc>
        <w:tc>
          <w:tcPr>
            <w:tcW w:w="7203" w:type="dxa"/>
            <w:gridSpan w:val="3"/>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复垦方向二级地类为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，面积</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土地复垦率(复垦面积/设施农用地面积)</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1192"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土地复垦投资</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估</w:t>
            </w:r>
            <w:r>
              <w:rPr>
                <w:rFonts w:ascii="Times New Roman" w:hAnsi="Times New Roman"/>
                <w:color w:val="auto"/>
                <w:kern w:val="21"/>
                <w:sz w:val="24"/>
                <w:szCs w:val="24"/>
              </w:rPr>
              <w:t>(</w:t>
            </w:r>
            <w:r>
              <w:rPr>
                <w:rFonts w:hint="eastAsia" w:ascii="Times New Roman" w:hAnsi="Times New Roman" w:eastAsia="黑体"/>
                <w:color w:val="auto"/>
                <w:kern w:val="21"/>
                <w:sz w:val="24"/>
                <w:szCs w:val="24"/>
              </w:rPr>
              <w:t>概</w:t>
            </w:r>
            <w:r>
              <w:rPr>
                <w:rFonts w:ascii="Times New Roman" w:hAnsi="Times New Roman"/>
                <w:color w:val="auto"/>
                <w:kern w:val="21"/>
                <w:sz w:val="24"/>
                <w:szCs w:val="24"/>
              </w:rPr>
              <w:t>)</w:t>
            </w:r>
            <w:r>
              <w:rPr>
                <w:rFonts w:hint="eastAsia" w:ascii="Times New Roman" w:hAnsi="Times New Roman" w:eastAsia="黑体"/>
                <w:color w:val="auto"/>
                <w:kern w:val="21"/>
                <w:sz w:val="24"/>
                <w:szCs w:val="24"/>
              </w:rPr>
              <w:t>算</w:t>
            </w:r>
          </w:p>
        </w:tc>
        <w:tc>
          <w:tcPr>
            <w:tcW w:w="3528" w:type="dxa"/>
            <w:gridSpan w:val="2"/>
            <w:vAlign w:val="center"/>
          </w:tcPr>
          <w:p>
            <w:pPr>
              <w:widowControl/>
              <w:spacing w:line="550" w:lineRule="exact"/>
              <w:jc w:val="lef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复垦总投资为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万元</w:t>
            </w:r>
          </w:p>
        </w:tc>
        <w:tc>
          <w:tcPr>
            <w:tcW w:w="3675" w:type="dxa"/>
            <w:vAlign w:val="center"/>
          </w:tcPr>
          <w:p>
            <w:pPr>
              <w:widowControl/>
              <w:spacing w:line="550" w:lineRule="exact"/>
              <w:jc w:val="lef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单位面积投资估算</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92"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设施农用地复垦</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计划及主要措施</w:t>
            </w:r>
          </w:p>
        </w:tc>
        <w:tc>
          <w:tcPr>
            <w:tcW w:w="7203" w:type="dxa"/>
            <w:gridSpan w:val="3"/>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本次复垦施工期从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日至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日，共</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主要复垦工作措施为：拆除地上临时建筑物</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平方米，拆除地下临时构筑物</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立方米，土地平整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平方米，客土</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立方米，修筑沟渠</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米，修筑田间道路</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米，种植防护林</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株，其他</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土地复垦</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义务人承诺</w:t>
            </w:r>
          </w:p>
        </w:tc>
        <w:tc>
          <w:tcPr>
            <w:tcW w:w="7203" w:type="dxa"/>
            <w:gridSpan w:val="3"/>
            <w:tcBorders>
              <w:top w:val="single" w:color="auto" w:sz="4" w:space="0"/>
              <w:left w:val="single" w:color="auto" w:sz="4" w:space="0"/>
              <w:bottom w:val="single" w:color="auto" w:sz="4" w:space="0"/>
              <w:right w:val="single" w:color="auto" w:sz="4" w:space="0"/>
            </w:tcBorders>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一、承诺事项</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1、严格按批准用途和范围使用设施农用地，限于自行使用，不擅自改变用途和扩大使用范围，不转让、抵押、交换、买卖、租赁或在设施农用地内进行违法活动，不损坏公共利益。</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2、设施农用地使用期满之日前3个月，如需要继续使用，及时申请办理设施农用地延期手续。若不需要继续使用，保证在使用期满之日6个月内恢复土地</w:t>
            </w:r>
            <w:r>
              <w:rPr>
                <w:rFonts w:hint="eastAsia" w:ascii="仿宋_GB2312" w:hAnsi="仿宋_GB2312" w:eastAsia="仿宋_GB2312" w:cs="仿宋_GB2312"/>
                <w:color w:val="auto"/>
                <w:kern w:val="21"/>
                <w:sz w:val="22"/>
                <w:szCs w:val="22"/>
                <w:lang w:eastAsia="zh-CN"/>
              </w:rPr>
              <w:t>原状</w:t>
            </w:r>
            <w:r>
              <w:rPr>
                <w:rFonts w:hint="eastAsia" w:ascii="仿宋_GB2312" w:hAnsi="仿宋_GB2312" w:eastAsia="仿宋_GB2312" w:cs="仿宋_GB2312"/>
                <w:color w:val="auto"/>
                <w:kern w:val="21"/>
                <w:sz w:val="22"/>
                <w:szCs w:val="22"/>
              </w:rPr>
              <w:t>，若涉及到种植的达到种植条件。</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3、严格按《土地管理法》、《土地复垦条例》、《土地复垦条例实施办法》等的有关规定，合法合理使用设施农用地，涉及违法用地的，承担相应的法律责任。</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二、承诺措施</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1、设施农用地使用期满后，承诺自行进行恢复土地</w:t>
            </w:r>
            <w:r>
              <w:rPr>
                <w:rFonts w:hint="eastAsia" w:ascii="仿宋_GB2312" w:hAnsi="仿宋_GB2312" w:eastAsia="仿宋_GB2312" w:cs="仿宋_GB2312"/>
                <w:color w:val="auto"/>
                <w:kern w:val="21"/>
                <w:sz w:val="22"/>
                <w:szCs w:val="22"/>
                <w:lang w:eastAsia="zh-CN"/>
              </w:rPr>
              <w:t>原状</w:t>
            </w:r>
            <w:r>
              <w:rPr>
                <w:rFonts w:hint="eastAsia" w:ascii="仿宋_GB2312" w:hAnsi="仿宋_GB2312" w:eastAsia="仿宋_GB2312" w:cs="仿宋_GB2312"/>
                <w:color w:val="auto"/>
                <w:kern w:val="21"/>
                <w:sz w:val="22"/>
                <w:szCs w:val="22"/>
              </w:rPr>
              <w:t>，未按规定复垦的，按违法用地及破坏耕地处置。</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2、自觉配合执法部门检查，并接受社会监督，构成违法用地的，愿接受相应依法的处置和处罚。</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jc w:val="righ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承诺单位（承诺人）：</w:t>
            </w:r>
          </w:p>
          <w:p>
            <w:pPr>
              <w:widowControl/>
              <w:spacing w:line="550" w:lineRule="exact"/>
              <w:jc w:val="righ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年    月    日</w:t>
            </w:r>
          </w:p>
          <w:p>
            <w:pPr>
              <w:widowControl/>
              <w:spacing w:line="550" w:lineRule="exact"/>
              <w:rPr>
                <w:rFonts w:hint="eastAsia" w:ascii="仿宋_GB2312" w:hAnsi="仿宋_GB2312" w:eastAsia="仿宋_GB2312" w:cs="仿宋_GB2312"/>
                <w:color w:val="auto"/>
                <w:kern w:val="2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所有权人</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审核意见</w:t>
            </w:r>
          </w:p>
        </w:tc>
        <w:tc>
          <w:tcPr>
            <w:tcW w:w="7203" w:type="dxa"/>
            <w:gridSpan w:val="3"/>
            <w:tcBorders>
              <w:top w:val="single" w:color="auto" w:sz="4" w:space="0"/>
              <w:left w:val="single" w:color="auto" w:sz="4" w:space="0"/>
              <w:bottom w:val="single" w:color="auto" w:sz="4" w:space="0"/>
              <w:right w:val="single" w:color="auto" w:sz="4" w:space="0"/>
            </w:tcBorders>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 xml:space="preserve">集体经济组织法人代表或村民委员会主任签字：                </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农村集体经济组织或村民委员会签章</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jc w:val="righ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镇政府</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审核意见</w:t>
            </w:r>
          </w:p>
        </w:tc>
        <w:tc>
          <w:tcPr>
            <w:tcW w:w="7203" w:type="dxa"/>
            <w:gridSpan w:val="3"/>
            <w:tcBorders>
              <w:top w:val="single" w:color="auto" w:sz="4" w:space="0"/>
              <w:left w:val="single" w:color="auto" w:sz="4" w:space="0"/>
              <w:bottom w:val="single" w:color="auto" w:sz="4" w:space="0"/>
              <w:right w:val="single" w:color="auto" w:sz="4" w:space="0"/>
            </w:tcBorders>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 xml:space="preserve">分管领导签字：                      </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镇政府签章</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jc w:val="righ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年    月    日</w:t>
            </w:r>
          </w:p>
        </w:tc>
      </w:tr>
    </w:tbl>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填表说明：</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1、本表仅适用于面积小于等于1公顷（15亩）的设施农用地的申报审批；</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2、四至情况主要填写周边明显标的物，如河流、公路、相邻村/经济社名称等；</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3、土地利用现状需要设施农用地所属镇级自然资源部门根据当地最新土地利用变更调查数据套取，地类参照《土地利用现状分类》（GB/T21010-2017）填写；</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4、复垦方向应综合考虑土地利用现状、周边实地、当地土地利用总体规划、土地权属人意见等确定；</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5、确定土地复垦费的数额，应当综合考虑损毁前的土地类型、实际损毁面积、损毁程度、复垦标准、复垦用途和完成复垦任务所需的工程量等因素。</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6、附图以最新的1:10000土地利用现状图为底图，采用红线圈划设施农用地范围，并由所属镇级自然资源部门盖章确认。</w:t>
      </w:r>
    </w:p>
    <w:p>
      <w:pPr>
        <w:spacing w:line="520" w:lineRule="exact"/>
        <w:jc w:val="left"/>
        <w:rPr>
          <w:rFonts w:ascii="仿宋_GB2312" w:hAnsi="宋体" w:eastAsia="仿宋_GB2312"/>
          <w:color w:val="auto"/>
          <w:sz w:val="32"/>
          <w:szCs w:val="32"/>
        </w:rPr>
      </w:pPr>
    </w:p>
    <w:p>
      <w:bookmarkStart w:id="0" w:name="_GoBack"/>
      <w:bookmarkEnd w:id="0"/>
    </w:p>
    <w:sectPr>
      <w:footerReference r:id="rId5" w:type="first"/>
      <w:footerReference r:id="rId3" w:type="default"/>
      <w:footerReference r:id="rId4" w:type="even"/>
      <w:pgSz w:w="11940" w:h="16780"/>
      <w:pgMar w:top="1582" w:right="2045" w:bottom="1409" w:left="1750" w:header="720" w:footer="8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151"/>
      <w:jc w:val="right"/>
    </w:pPr>
    <w:r>
      <w:rPr>
        <w:sz w:val="24"/>
      </w:rPr>
      <w:fldChar w:fldCharType="begin"/>
    </w:r>
    <w:r>
      <w:rPr>
        <w:sz w:val="24"/>
      </w:rPr>
      <w:instrText xml:space="preserve"> PAGE   \* MERGEFORMAT </w:instrText>
    </w:r>
    <w:r>
      <w:rPr>
        <w:sz w:val="24"/>
      </w:rPr>
      <w:fldChar w:fldCharType="separate"/>
    </w:r>
    <w:r>
      <w:rPr>
        <w:rFonts w:ascii="微软雅黑" w:hAnsi="微软雅黑" w:eastAsia="微软雅黑" w:cs="微软雅黑"/>
        <w:sz w:val="24"/>
      </w:rPr>
      <w:t>7</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108"/>
      <w:jc w:val="left"/>
    </w:pPr>
    <w:r>
      <w:rPr>
        <w:sz w:val="26"/>
      </w:rPr>
      <w:fldChar w:fldCharType="begin"/>
    </w:r>
    <w:r>
      <w:rPr>
        <w:sz w:val="26"/>
      </w:rPr>
      <w:instrText xml:space="preserve"> PAGE   \* MERGEFORMAT </w:instrText>
    </w:r>
    <w:r>
      <w:rPr>
        <w:sz w:val="26"/>
      </w:rPr>
      <w:fldChar w:fldCharType="separate"/>
    </w:r>
    <w:r>
      <w:rPr>
        <w:rFonts w:ascii="微软雅黑" w:hAnsi="微软雅黑" w:eastAsia="微软雅黑" w:cs="微软雅黑"/>
        <w:sz w:val="26"/>
      </w:rPr>
      <w:t>22</w:t>
    </w:r>
    <w:r>
      <w:rPr>
        <w:sz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151"/>
      <w:jc w:val="right"/>
    </w:pPr>
    <w:r>
      <w:rPr>
        <w:sz w:val="24"/>
      </w:rPr>
      <w:fldChar w:fldCharType="begin"/>
    </w:r>
    <w:r>
      <w:rPr>
        <w:sz w:val="24"/>
      </w:rPr>
      <w:instrText xml:space="preserve"> PAGE   \* MERGEFORMAT </w:instrText>
    </w:r>
    <w:r>
      <w:rPr>
        <w:sz w:val="24"/>
      </w:rPr>
      <w:fldChar w:fldCharType="separate"/>
    </w:r>
    <w:r>
      <w:rPr>
        <w:rFonts w:ascii="微软雅黑" w:hAnsi="微软雅黑" w:eastAsia="微软雅黑" w:cs="微软雅黑"/>
        <w:sz w:val="24"/>
      </w:rPr>
      <w:t>27</w:t>
    </w:r>
    <w:r>
      <w:rPr>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22899"/>
    <w:rsid w:val="4E622899"/>
    <w:rsid w:val="6354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2019-12-10T09:46:00Z</dcterms:created>
  <dc:creator>安诗芳</dc:creator>
  <cp:lastModifiedBy>安诗芳</cp:lastModifiedBy>
  <dcterms:modified xsi:type="dcterms:W3CDTF">2019-12-10T09:46:41Z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