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2</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广州市白云区人民政府规范性文件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清理目录（集中修改）</w:t>
      </w:r>
      <w:bookmarkStart w:id="0" w:name="_GoBack"/>
      <w:bookmarkEnd w:id="0"/>
    </w:p>
    <w:p>
      <w:pPr>
        <w:rPr>
          <w:rFonts w:hint="default" w:ascii="Times New Roman" w:hAnsi="Times New Roman" w:cs="Times New Roman"/>
        </w:rPr>
      </w:pPr>
    </w:p>
    <w:tbl>
      <w:tblPr>
        <w:tblStyle w:val="3"/>
        <w:tblW w:w="91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84"/>
        <w:gridCol w:w="6078"/>
        <w:gridCol w:w="2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val="0"/>
                <w:i w:val="0"/>
                <w:color w:val="000000"/>
                <w:kern w:val="0"/>
                <w:sz w:val="21"/>
                <w:szCs w:val="21"/>
                <w:u w:val="none"/>
                <w:lang w:val="en-US" w:eastAsia="zh-CN" w:bidi="ar"/>
              </w:rPr>
            </w:pPr>
            <w:r>
              <w:rPr>
                <w:rFonts w:hint="default" w:ascii="Times New Roman" w:hAnsi="Times New Roman" w:eastAsia="黑体" w:cs="Times New Roman"/>
                <w:b w:val="0"/>
                <w:bCs w:val="0"/>
                <w:i w:val="0"/>
                <w:color w:val="000000"/>
                <w:kern w:val="0"/>
                <w:sz w:val="21"/>
                <w:szCs w:val="21"/>
                <w:u w:val="none"/>
                <w:lang w:val="en-US" w:eastAsia="zh-CN" w:bidi="ar"/>
              </w:rPr>
              <w:t>序号</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val="0"/>
                <w:i w:val="0"/>
                <w:color w:val="000000"/>
                <w:kern w:val="0"/>
                <w:sz w:val="21"/>
                <w:szCs w:val="21"/>
                <w:u w:val="none"/>
                <w:lang w:val="en-US" w:eastAsia="zh-CN" w:bidi="ar"/>
              </w:rPr>
            </w:pPr>
            <w:r>
              <w:rPr>
                <w:rFonts w:hint="default" w:ascii="Times New Roman" w:hAnsi="Times New Roman" w:eastAsia="黑体" w:cs="Times New Roman"/>
                <w:b w:val="0"/>
                <w:bCs w:val="0"/>
                <w:i w:val="0"/>
                <w:color w:val="000000"/>
                <w:kern w:val="0"/>
                <w:sz w:val="21"/>
                <w:szCs w:val="21"/>
                <w:u w:val="none"/>
                <w:lang w:val="en-US" w:eastAsia="zh-CN" w:bidi="ar"/>
              </w:rPr>
              <w:t>文件标题</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val="0"/>
                <w:i w:val="0"/>
                <w:color w:val="000000"/>
                <w:sz w:val="21"/>
                <w:szCs w:val="21"/>
                <w:u w:val="none"/>
              </w:rPr>
            </w:pPr>
            <w:r>
              <w:rPr>
                <w:rFonts w:hint="default" w:ascii="Times New Roman" w:hAnsi="Times New Roman" w:eastAsia="黑体" w:cs="Times New Roman"/>
                <w:b w:val="0"/>
                <w:bCs w:val="0"/>
                <w:i w:val="0"/>
                <w:color w:val="000000"/>
                <w:kern w:val="0"/>
                <w:sz w:val="21"/>
                <w:szCs w:val="21"/>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广州市白云区人民政府关于印发白云区区级福利彩票公益金项目管理办法的通知</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云府〔2014〕33号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广州市白云区人民政府办公室关于印发白云区打击“两非”举报奖励规定的通知</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云府办〔2015〕70号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广州市白云区人民政府办公室关于印发数字白云地理空间框架管理办法的通知</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云府办〔2016〕38号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4</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广州市白云区人民政府关于空港大道（106国道—白云五线）工程建设的通告</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广州市白云区人民政府关于白云五线（机场高速—106国道）工程建设的通告</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广州市白云区人民政府关于马沥路建设的通告</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7</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广州市白云区人民政府关于太和文化广场人行天桥工程建设的通告</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8</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广州市白云区人民政府关于广青路工程建设通告</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广州市白云区人民政府关于印发白云区安全生产委托行政执法实施细则的通知</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广州市白云区人民政府关于印发白云区安全生产委托行政执法规定的通知</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广州市白云区人民政府办公室关于印发白云区突发事件预警信息发布管理办法的通知</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云府办规〔2018〕9号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广州市白云区人民政府办公室关于印发进一步加强农村集体土地利用管理意见（试行）的通知</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云府办规〔2018〕10号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58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6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right="64" w:rightChars="20"/>
              <w:jc w:val="both"/>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广州市白云区人民政府办公室关于印发广州市旧村庄更新实施办法的实施意见（试行）的通知</w:t>
            </w:r>
          </w:p>
        </w:tc>
        <w:tc>
          <w:tcPr>
            <w:tcW w:w="25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云府办规〔2018〕11号</w:t>
            </w:r>
          </w:p>
        </w:tc>
      </w:tr>
    </w:tbl>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E7B51"/>
    <w:rsid w:val="525E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2019-12-19T02:44:00Z</dcterms:created>
  <dc:creator>余梦煌</dc:creator>
  <cp:lastModifiedBy>余梦煌</cp:lastModifiedBy>
  <dcterms:modified xsi:type="dcterms:W3CDTF">2019-12-19T02:45:14Z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