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4</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广州市白云区人民政府规范性文件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清理目</w:t>
      </w:r>
      <w:bookmarkStart w:id="0" w:name="_GoBack"/>
      <w:bookmarkEnd w:id="0"/>
      <w:r>
        <w:rPr>
          <w:rFonts w:hint="default" w:ascii="Times New Roman" w:hAnsi="Times New Roman" w:eastAsia="方正小标宋简体" w:cs="Times New Roman"/>
          <w:sz w:val="44"/>
          <w:szCs w:val="44"/>
        </w:rPr>
        <w:t>录（废止、自然失效）</w:t>
      </w:r>
    </w:p>
    <w:p>
      <w:pPr>
        <w:rPr>
          <w:rFonts w:hint="default" w:ascii="Times New Roman" w:hAnsi="Times New Roman" w:cs="Times New Roman"/>
        </w:rPr>
      </w:pPr>
    </w:p>
    <w:tbl>
      <w:tblPr>
        <w:tblStyle w:val="3"/>
        <w:tblW w:w="90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4"/>
        <w:gridCol w:w="5655"/>
        <w:gridCol w:w="2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序号</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文件标题</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广州市白云区人民政府关于印发白云区质量强区工作若干措施及相关配套文件的通知</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云府〔2014〕16号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广州市白云区人民政府关于划定高污染燃料禁燃区的通告</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云府〔2014〕34号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广州市白云区人民政府关于印发广州市白云区档案馆收集档案范围细则的通知</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云府〔2014〕36号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广州市白云区人民政府办公室关于印发白云区获得名牌产品驰（著）名商标奖励办法的通知</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云府办〔2016〕52号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广州市白云区人民政府办公室关于印发白云区已离岗接生员和赤脚医生生活困难补助实施方案的通知</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云府办〔2015〕37号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广州市白云区人民政府办公室关于印发白云区区属国有企业物业出租管理暂行规定的通知</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云府办〔2016〕88号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广州市白云区人民政府关于迎宾大道延长线二期（机场高速—方华公路）工程建设的通告</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广州市白云区人民政府关于广州生物医药健康产业基地规划二路工程建设的通告</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广州市白云区人民政府关于广州生物医药健康产业基地规划七路工程建设的通告</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广州市白云区人民政府关于集安路建设的通告</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trPr>
        <w:tc>
          <w:tcPr>
            <w:tcW w:w="7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tc>
        <w:tc>
          <w:tcPr>
            <w:tcW w:w="56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广州市白云区人民政府关于三元里大道升级改造工程建设通告</w:t>
            </w:r>
          </w:p>
        </w:tc>
        <w:tc>
          <w:tcPr>
            <w:tcW w:w="26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云府规〔2018〕2号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A00E5"/>
    <w:rsid w:val="098A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2019-12-19T02:46:00Z</dcterms:created>
  <dc:creator>余梦煌</dc:creator>
  <cp:lastModifiedBy>余梦煌</cp:lastModifiedBy>
  <dcterms:modified xsi:type="dcterms:W3CDTF">2019-12-19T02:46:46Z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