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 w:val="0"/>
          <w:kern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24"/>
          <w:szCs w:val="24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24"/>
          <w:szCs w:val="24"/>
        </w:rPr>
        <w:t>各行业企业入统标准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jc w:val="center"/>
        <w:textAlignment w:val="auto"/>
        <w:rPr>
          <w:rFonts w:hint="eastAsia" w:ascii="仿宋" w:hAnsi="仿宋" w:eastAsia="仿宋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年营业（主营）业务收入以企业纳税申报表中营业（主营）业务业收入为准：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规模以上工业——年主营业务收入2000万元及以上；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限额以上商业：①批发业——年主营业务收入2000万元及以上；②零售业——年主营业务收入500万元及以上；③住宿业——年主营业务收入200万元及以上；④餐饮业——年主营业务收入200万元及以上。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3、规模以上服务业：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交通运输、仓储和邮政业，信息传输、软件和信息技术服务业，水利、环境和公共设施管理业三个门类和卫生行业大类年营业收入2000万元及以上；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居民服务、修理和其他服务业，文化、体育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和娱乐业两个行业门类和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社会工作行业大类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年营业收入合计500万元及以上；其他服务行业年营业收入1000万元及以上。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4、建筑及房地产业：有资质的建筑企业（主营业务收入50%以上属于建筑施工经营收入）及房地产开发经营企业（必须有房地产开发项目开工、建设或在售）。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DA41C"/>
    <w:multiLevelType w:val="singleLevel"/>
    <w:tmpl w:val="B6FDA4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016A7"/>
    <w:rsid w:val="0EBB29D2"/>
    <w:rsid w:val="23A016A7"/>
    <w:rsid w:val="3B60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2020-03-24T07:16:00Z</dcterms:created>
  <dc:creator>huang</dc:creator>
  <cp:lastModifiedBy>huang</cp:lastModifiedBy>
  <dcterms:modified xsi:type="dcterms:W3CDTF">2020-03-25T08:12:22Z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