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highlight w:val="none"/>
          <w:lang w:val="en-US" w:eastAsia="zh-CN"/>
        </w:rPr>
      </w:pPr>
      <w:bookmarkStart w:id="0" w:name="bookmark38"/>
      <w:bookmarkStart w:id="1" w:name="bookmark40"/>
      <w:bookmarkStart w:id="2" w:name="bookmark39"/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highlight w:val="none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highlight w:val="none"/>
          <w:lang w:val="en-US" w:eastAsia="zh-CN"/>
        </w:rPr>
        <w:t>2</w:t>
      </w:r>
      <w:bookmarkStart w:id="3" w:name="_GoBack"/>
      <w:bookmarkEnd w:id="3"/>
    </w:p>
    <w:p>
      <w:pPr>
        <w:pStyle w:val="6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rFonts w:hint="eastAsia" w:eastAsia="仿宋_GB2312"/>
          <w:b/>
          <w:bCs/>
          <w:sz w:val="24"/>
          <w:szCs w:val="24"/>
          <w:highlight w:val="none"/>
          <w:lang w:val="en-US" w:eastAsia="zh-CN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highlight w:val="none"/>
        </w:rPr>
        <w:t>广州市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eastAsia="zh-CN"/>
        </w:rPr>
        <w:t>南沙区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highlight w:val="none"/>
        </w:rPr>
        <w:t>级农业龙头企业认定和监测评分标准</w:t>
      </w:r>
      <w:bookmarkEnd w:id="0"/>
      <w:bookmarkEnd w:id="1"/>
      <w:bookmarkEnd w:id="2"/>
    </w:p>
    <w:tbl>
      <w:tblPr>
        <w:tblStyle w:val="5"/>
        <w:tblW w:w="1536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5"/>
        <w:gridCol w:w="1350"/>
        <w:gridCol w:w="2100"/>
        <w:gridCol w:w="2517"/>
        <w:gridCol w:w="2550"/>
        <w:gridCol w:w="2250"/>
        <w:gridCol w:w="352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zh-CN" w:eastAsia="zh-CN" w:bidi="zh-CN"/>
              </w:rPr>
              <w:t>一.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农产品生产型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二.农产品加工流通型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三.农产品市场带动型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四.农业科技服务型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五.其他涉农产业型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exac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一、涉农业务收入占总收入的比重</w:t>
            </w:r>
          </w:p>
        </w:tc>
        <w:tc>
          <w:tcPr>
            <w:tcW w:w="1293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达到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51%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的计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分，达不到的不计分。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92" w:hRule="exact"/>
          <w:jc w:val="center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二、企业规模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en-US" w:bidi="en-US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总资产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right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达到500万元计4分，每少50万元扣1分，每超300 万元加1分，加分最多不超过4分。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right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达到1000万元计4分，每少100万元扣1分，每超500万元加1分，加分最多不超过4分。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right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达到2000万元计4分，每少200万元扣1分，每超500万元加1分，加分最多不超过4分。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right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达到100万元计4 分，每少10万元扣1分，每超50万元加1分，加分最多不超过4分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right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达到500万元（其中：农机、农药（兽药）、饲料和肥料等生产、屠宰服务达到1000万元）计4分，每少50万元扣1分，每超300万元加1分，加分最多不超过4分。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2" w:hRule="exac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2.固定资产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达到100万元计3分，每少10万元扣 1分，每超20万元加1分，加分最多不超过3分。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达到200万元计3分，每少20万元扣1分，每超50万元加1分，加分最多不超过3分。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达到1000万元计3分，每少200万元扣1分，每超300万元加1分，加分最多不超过3分。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达到50万元计3分，每少10万元扣1分，每超20万元加1分，加分最多不超过3分。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达到100万元（其中：农机、农药（兽药）、饲料和肥料等生产、屠宰服务达到200万元）计3分，每少10万元扣1分，每超30万元加1分，加分最多不超过3分。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zh-CN" w:eastAsia="zh-CN" w:bidi="zh-CN"/>
              </w:rPr>
              <w:t>一.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农产品生产型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二.农产品加工流通型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三.农产品市场带动型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四.农业科技服务型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五.其他涉农产业型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1" w:hRule="exac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二、企业规模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3.年销售（营业）收入或交易額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达到500万元计23分。每少20万元扣1分，每超100万元加1分，加分最多不超过3 分。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达到800万元计23分。每少30万元扣1分，每超200万元加1分，加分最多不超过3分。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达到2亿元计23分。每少500万元扣1分，每超3000万元加1分，加分最多不超过3分。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达到300万元以上计23分。每少20万元扣1分，每超50万元加1分，加分最多不超过3分。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达到200万元（其中：农机、农药（兽药）、饲料和肥料等生产、屠宰服务达到2000万元）计 23分。每少10万元（其中：农机、农药（兽 药）、饲料和肥料等生产、屠宰服务每少50万元）扣1分，每超50万元（其中：农机、农 药（兽药）、饲料和肥料等生产、屠宰服务每超200万元）加1分，加分最多不超过3分。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color w:val="000000"/>
          <w:spacing w:val="0"/>
          <w:w w:val="100"/>
          <w:position w:val="0"/>
          <w:sz w:val="19"/>
          <w:szCs w:val="19"/>
          <w:highlight w:val="none"/>
        </w:rPr>
        <w:sectPr>
          <w:footerReference r:id="rId3" w:type="default"/>
          <w:footnotePr>
            <w:numFmt w:val="decimal"/>
          </w:footnotePr>
          <w:pgSz w:w="16840" w:h="11900" w:orient="landscape"/>
          <w:pgMar w:top="1468" w:right="720" w:bottom="1045" w:left="733" w:header="1040" w:footer="3" w:gutter="0"/>
          <w:pgNumType w:fmt="decimal" w:start="1"/>
          <w:cols w:space="720" w:num="1"/>
          <w:rtlGutter w:val="0"/>
          <w:docGrid w:linePitch="360" w:charSpace="0"/>
        </w:sectPr>
      </w:pPr>
    </w:p>
    <w:tbl>
      <w:tblPr>
        <w:tblStyle w:val="5"/>
        <w:tblW w:w="1538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3"/>
        <w:gridCol w:w="1469"/>
        <w:gridCol w:w="1297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12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227"/>
                <w:tab w:val="left" w:pos="5754"/>
                <w:tab w:val="left" w:pos="8382"/>
                <w:tab w:val="left" w:pos="10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right="0" w:firstLine="7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一 .农产品生产型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二.农产品加工流通型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三.农产品市场带动型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四.农业科技服务型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五.其他涉农产业型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  <w:t>三、企 业信用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1 .纳税情况</w:t>
            </w:r>
          </w:p>
        </w:tc>
        <w:tc>
          <w:tcPr>
            <w:tcW w:w="12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right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企业审核年度①依法纳税的计5分，企业存在因税务稽查产生的税务处罚情况或存在欠税的计0分。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exact"/>
          <w:jc w:val="center"/>
        </w:trPr>
        <w:tc>
          <w:tcPr>
            <w:tcW w:w="9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2.劳动用工管理情况</w:t>
            </w:r>
          </w:p>
        </w:tc>
        <w:tc>
          <w:tcPr>
            <w:tcW w:w="12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right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企业审核年度没有违反劳动保障法律、法规和规章受到行政处罚的计5分，有受到相关行政处罚的倒扣5分。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9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en-US" w:bidi="en-US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银行信用</w:t>
            </w:r>
          </w:p>
        </w:tc>
        <w:tc>
          <w:tcPr>
            <w:tcW w:w="12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right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企业在日常经济往来中守法、诚信、运行正常的计5分，在金融机构中有不良信用记录的倒扣2分。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四、带动力</w:t>
            </w:r>
          </w:p>
        </w:tc>
        <w:tc>
          <w:tcPr>
            <w:tcW w:w="12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right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紧密型带动农户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0户（含同等规模的农民合作社和家庭农场）或松散型带动农户200户的计10分，达不到的计0分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1" w:hRule="exact"/>
          <w:jc w:val="center"/>
        </w:trPr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五、竞争力</w:t>
            </w:r>
          </w:p>
        </w:tc>
        <w:tc>
          <w:tcPr>
            <w:tcW w:w="1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right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符合以下条件的増计分数，最多増计30分：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企业生产基地被列为粤港澳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zh-CN" w:eastAsia="zh-CN" w:bidi="zh-CN"/>
              </w:rPr>
              <w:t>“大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湾区’菜篮子生产基地的计20分。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被评定为农业部农村部畜禽养殖标准化示范场、水产健康养殖示范场或蔬菜（水果）标准园的，计10分。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市级及以上农业科技成果奖、科技推广奖、高新技术企业资格其中一项的计10分。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获育繁推一体化企业、中国种业骨干企业、种业行业评价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en-US" w:bidi="en-US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级信用企业、国家级良种场、被认定（或评定）为市级以上（含市级）种业类平台型 企业，其中一项的计10分。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获市级以上休闲农业和乡村旅游示范点、观光休闲农业示范园、农业公园荣誉称号的、被评为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en-US" w:bidi="en-US"/>
              </w:rPr>
              <w:t>3A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级及以上旅游景点其中1项的计10分。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获得省级良种场、原种畜禽场或祖代种禽场认定的计8分，获得市级良种场、父母代种禽场或种畜扩繁场认定的计5分，获农作物种子经营（生 产经营）许可证的计5分。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47" w:hRule="exact"/>
          <w:jc w:val="center"/>
        </w:trPr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五、竞争力</w:t>
            </w:r>
          </w:p>
        </w:tc>
        <w:tc>
          <w:tcPr>
            <w:tcW w:w="1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获著（驰）名商标证书、省名牌产品证书、广东省菜篮子基地证书、有机食品证书、绿色食品证书、无公害证书、农产品原产地证明、地理标志 产品证书其中一项的计8分；被认定为市级以上农业标准化示范区的计5分。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拥有植物新品种权的、一个以上产品获得国家级奖的、商品代的产值1000万以上的、占该类品种全国市场份额1%以上的，有其中1项的计7分。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渔业养殖企业己完成广州市池塘养殖水治理并达到水质要求的计3分。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能够按照或高于国家标准、行业标准、地方标准进行生产的计2分。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11.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农产品加工企业有符合国家环保标准、食品加工卫生标准的加工基地或生产设施，达到一项计5分，达到两项计10分。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12.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农产品流通企业、市场带动型企业有符合国家环保要求的交易场地或农产品运输（贮藏）设施，达到一项计5分，达到两项计10分。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13.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总资产报酬率不低于金融机构一年期银行贷款基准利率的计5分。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14.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有发明专利证书、商标注册证其中一项的计3分，没有不计分。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15.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有企业管理制度和财务制度、通过企业管理体系认证、通过职业安全与卫生管理体系认证，有其中一项的计4分，没有不计分。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16.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被评为环保诚信企业或环保良好企业、守合同重信用企业称号其中一项的计3分，没有不计分。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0"/>
        <w:jc w:val="left"/>
        <w:textAlignment w:val="auto"/>
        <w:outlineLvl w:val="9"/>
        <w:rPr>
          <w:sz w:val="24"/>
          <w:szCs w:val="24"/>
          <w:highlight w:val="none"/>
        </w:rPr>
      </w:pPr>
      <w:r>
        <w:rPr>
          <w:color w:val="000000"/>
          <w:spacing w:val="0"/>
          <w:w w:val="100"/>
          <w:position w:val="0"/>
          <w:sz w:val="24"/>
          <w:szCs w:val="24"/>
          <w:highlight w:val="none"/>
        </w:rPr>
        <w:t>备注：①本办法的审核年度指从当年开展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highlight w:val="none"/>
          <w:lang w:eastAsia="zh-CN"/>
        </w:rPr>
        <w:t>区</w:t>
      </w:r>
      <w:r>
        <w:rPr>
          <w:color w:val="000000"/>
          <w:spacing w:val="0"/>
          <w:w w:val="100"/>
          <w:position w:val="0"/>
          <w:sz w:val="24"/>
          <w:szCs w:val="24"/>
          <w:highlight w:val="none"/>
        </w:rPr>
        <w:t>级农业龙头企业认定通知印发之日起上溯一年计算。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567" w:leftChars="270" w:right="0" w:firstLine="0" w:firstLineChars="0"/>
        <w:jc w:val="left"/>
        <w:textAlignment w:val="auto"/>
        <w:outlineLvl w:val="9"/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sectPr>
          <w:footerReference r:id="rId4" w:type="default"/>
          <w:footnotePr>
            <w:numFmt w:val="decimal"/>
          </w:footnotePr>
          <w:pgSz w:w="16840" w:h="11900" w:orient="landscape"/>
          <w:pgMar w:top="1468" w:right="720" w:bottom="1045" w:left="733" w:header="1040" w:footer="3" w:gutter="0"/>
          <w:pgNumType w:fmt="decimal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4"/>
          <w:szCs w:val="24"/>
          <w:highlight w:val="none"/>
        </w:rPr>
        <w:t>②本办法所指的紧密型带动农户，指吸收就业、订单收购、租用农地、租用农房等形式带动农户，以订单、合同、工资发放的会计凭证为准。松散型带动农户指收购农产品、开展技术培训、提供技术服务、提供经营场地、产品或服务辐射等，以合同、会计凭证、培训记录、台账等为准。紧密型带动农户数与松散型带动农户数可以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highlight w:val="none"/>
        </w:rPr>
        <w:t>1: 5</w:t>
      </w:r>
      <w:r>
        <w:rPr>
          <w:color w:val="000000"/>
          <w:spacing w:val="0"/>
          <w:w w:val="100"/>
          <w:position w:val="0"/>
          <w:sz w:val="24"/>
          <w:szCs w:val="24"/>
          <w:highlight w:val="none"/>
        </w:rPr>
        <w:t>折算，达到一项或折算后总和达到其中一项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highlight w:val="none"/>
          <w:lang w:eastAsia="zh-CN"/>
        </w:rPr>
        <w:t>。</w:t>
      </w:r>
    </w:p>
    <w:p/>
    <w:p/>
    <w:sectPr>
      <w:footerReference r:id="rId5" w:type="default"/>
      <w:pgSz w:w="16838" w:h="11906" w:orient="landscape"/>
      <w:pgMar w:top="1587" w:right="2098" w:bottom="1474" w:left="1984" w:header="851" w:footer="992" w:gutter="0"/>
      <w:pgNumType w:fmt="decimal"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941070</wp:posOffset>
              </wp:positionH>
              <wp:positionV relativeFrom="page">
                <wp:posOffset>6956425</wp:posOffset>
              </wp:positionV>
              <wp:extent cx="708660" cy="1231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hint="eastAsia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.1pt;margin-top:547.75pt;height:9.7pt;width:55.8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K&#10;QLCP2AAAAA0BAAAPAAAAAAAAAAEAIAAAACIAAABkcnMvZG93bnJldi54bWxQSwECFAAUAAAACACH&#10;TuJAi1JkpbIBAABL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hint="eastAsia" w:cs="Times New Roman"/>
                        <w:color w:val="000000"/>
                        <w:spacing w:val="0"/>
                        <w:w w:val="100"/>
                        <w:position w:val="0"/>
                        <w:lang w:val="en-US" w:eastAsia="zh-CN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941070</wp:posOffset>
              </wp:positionH>
              <wp:positionV relativeFrom="page">
                <wp:posOffset>6956425</wp:posOffset>
              </wp:positionV>
              <wp:extent cx="708660" cy="12319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hint="eastAsia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.1pt;margin-top:547.75pt;height:9.7pt;width:55.8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kCwj9gAAAANAQAADwAAAAAAAAABACAAAAAiAAAAZHJzL2Rvd25yZXYueG1sUEsBAhQAFAAAAAgA&#10;h07iQPeSgVyzAQAATQ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hint="eastAsia" w:cs="Times New Roman"/>
                        <w:color w:val="000000"/>
                        <w:spacing w:val="0"/>
                        <w:w w:val="100"/>
                        <w:position w:val="0"/>
                        <w:lang w:val="en-US" w:eastAsia="zh-CN"/>
                      </w:rPr>
                      <w:t>5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941070</wp:posOffset>
              </wp:positionH>
              <wp:positionV relativeFrom="page">
                <wp:posOffset>6956425</wp:posOffset>
              </wp:positionV>
              <wp:extent cx="708660" cy="12319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hint="eastAsia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zh-CN" w:bidi="en-US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.1pt;margin-top:547.75pt;height:9.7pt;width:55.8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K&#10;QLCP2AAAAA0BAAAPAAAAAAAAAAEAIAAAACIAAABkcnMvZG93bnJldi54bWxQSwECFAAUAAAACACH&#10;TuJAa58KyrIBAABL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hint="eastAsia" w:cs="Times New Roman"/>
                        <w:color w:val="000000"/>
                        <w:spacing w:val="0"/>
                        <w:w w:val="100"/>
                        <w:position w:val="0"/>
                        <w:lang w:val="en-US" w:eastAsia="zh-CN" w:bidi="en-US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013F"/>
    <w:rsid w:val="7200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3|1"/>
    <w:basedOn w:val="1"/>
    <w:qFormat/>
    <w:uiPriority w:val="0"/>
    <w:pPr>
      <w:widowControl w:val="0"/>
      <w:shd w:val="clear" w:color="auto" w:fill="auto"/>
      <w:spacing w:after="110"/>
      <w:outlineLvl w:val="2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  <w:spacing w:line="241" w:lineRule="exact"/>
      <w:ind w:firstLine="7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2020-09-09T08:59:00Z</dcterms:created>
  <dc:creator>Administrator</dc:creator>
  <cp:lastModifiedBy>Administrator</cp:lastModifiedBy>
  <dcterms:modified xsi:type="dcterms:W3CDTF">2020-09-09T09:04:38Z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