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napToGrid w:val="0"/>
        <w:spacing w:line="480" w:lineRule="auto"/>
        <w:rPr>
          <w:rFonts w:hint="eastAsia" w:ascii="宋体" w:hAnsi="宋体" w:cs="黑体"/>
          <w:snapToGrid w:val="0"/>
          <w:sz w:val="24"/>
          <w:szCs w:val="24"/>
        </w:rPr>
      </w:pPr>
      <w:r>
        <w:rPr>
          <w:rFonts w:hint="eastAsia" w:ascii="宋体" w:hAnsi="宋体" w:cs="黑体"/>
          <w:snapToGrid w:val="0"/>
          <w:sz w:val="24"/>
          <w:szCs w:val="24"/>
        </w:rPr>
        <w:t>附件</w:t>
      </w:r>
    </w:p>
    <w:p>
      <w:pPr>
        <w:pStyle w:val="9"/>
        <w:adjustRightInd w:val="0"/>
        <w:snapToGrid w:val="0"/>
        <w:spacing w:line="480" w:lineRule="auto"/>
        <w:jc w:val="center"/>
        <w:rPr>
          <w:rFonts w:hint="eastAsia" w:ascii="宋体" w:hAnsi="宋体" w:cs="方正小标宋_GBK"/>
          <w:b/>
          <w:snapToGrid w:val="0"/>
          <w:sz w:val="24"/>
          <w:szCs w:val="24"/>
        </w:rPr>
      </w:pPr>
      <w:bookmarkStart w:id="0" w:name="_GoBack"/>
      <w:r>
        <w:rPr>
          <w:rFonts w:hint="eastAsia" w:ascii="宋体" w:hAnsi="宋体" w:cs="方正小标宋_GBK"/>
          <w:b/>
          <w:snapToGrid w:val="0"/>
          <w:sz w:val="24"/>
          <w:szCs w:val="24"/>
        </w:rPr>
        <w:t>越秀区IAB产业资质认证补助标准</w:t>
      </w:r>
      <w:bookmarkEnd w:id="0"/>
    </w:p>
    <w:p>
      <w:pPr>
        <w:pStyle w:val="10"/>
        <w:adjustRightInd w:val="0"/>
        <w:spacing w:line="480" w:lineRule="auto"/>
        <w:ind w:firstLine="472" w:firstLineChars="200"/>
        <w:textAlignment w:val="baseline"/>
        <w:rPr>
          <w:rFonts w:ascii="宋体" w:hAnsi="宋体"/>
          <w:b/>
          <w:bCs/>
          <w:snapToGrid w:val="0"/>
          <w:sz w:val="24"/>
          <w:szCs w:val="24"/>
        </w:rPr>
      </w:pPr>
    </w:p>
    <w:p>
      <w:pPr>
        <w:pStyle w:val="10"/>
        <w:adjustRightInd w:val="0"/>
        <w:spacing w:line="480" w:lineRule="auto"/>
        <w:ind w:firstLine="472" w:firstLineChars="200"/>
        <w:textAlignment w:val="baseline"/>
        <w:rPr>
          <w:rFonts w:ascii="宋体" w:hAnsi="宋体"/>
          <w:snapToGrid w:val="0"/>
          <w:sz w:val="24"/>
          <w:szCs w:val="24"/>
        </w:rPr>
      </w:pPr>
      <w:r>
        <w:rPr>
          <w:rFonts w:ascii="宋体" w:hAnsi="宋体"/>
          <w:b/>
          <w:bCs/>
          <w:snapToGrid w:val="0"/>
          <w:sz w:val="24"/>
          <w:szCs w:val="24"/>
        </w:rPr>
        <w:t>1．软件能力成熟度支持。</w:t>
      </w:r>
      <w:r>
        <w:rPr>
          <w:rFonts w:ascii="宋体" w:hAnsi="宋体"/>
          <w:snapToGrid w:val="0"/>
          <w:sz w:val="24"/>
          <w:szCs w:val="24"/>
        </w:rPr>
        <w:t>通过CMMI（能力成熟度模型集成）、CMM（能力成熟度模型）登记认定5级、4级评估的，分别一次性支持25万元、20万元；</w:t>
      </w:r>
    </w:p>
    <w:p>
      <w:pPr>
        <w:pStyle w:val="10"/>
        <w:adjustRightInd w:val="0"/>
        <w:spacing w:line="480" w:lineRule="auto"/>
        <w:ind w:firstLine="472" w:firstLineChars="200"/>
        <w:textAlignment w:val="baseline"/>
        <w:rPr>
          <w:rFonts w:ascii="宋体" w:hAnsi="宋体"/>
          <w:snapToGrid w:val="0"/>
          <w:sz w:val="24"/>
          <w:szCs w:val="24"/>
        </w:rPr>
      </w:pPr>
      <w:r>
        <w:rPr>
          <w:rFonts w:ascii="宋体" w:hAnsi="宋体"/>
          <w:b/>
          <w:bCs/>
          <w:snapToGrid w:val="0"/>
          <w:sz w:val="24"/>
          <w:szCs w:val="24"/>
        </w:rPr>
        <w:t>2．计算机信息系统集成资质支持。</w:t>
      </w:r>
      <w:r>
        <w:rPr>
          <w:rFonts w:ascii="宋体" w:hAnsi="宋体"/>
          <w:snapToGrid w:val="0"/>
          <w:sz w:val="24"/>
          <w:szCs w:val="24"/>
        </w:rPr>
        <w:t>通过计算机信息系统集成资质认证1级、2级的，分别一次性支持30万元、20万元。</w:t>
      </w:r>
    </w:p>
    <w:p>
      <w:pPr>
        <w:pStyle w:val="11"/>
        <w:widowControl w:val="0"/>
        <w:adjustRightInd w:val="0"/>
        <w:snapToGrid w:val="0"/>
        <w:spacing w:line="480" w:lineRule="auto"/>
        <w:ind w:firstLine="472" w:firstLineChars="200"/>
        <w:rPr>
          <w:rFonts w:hint="eastAsia" w:ascii="宋体" w:hAnsi="宋体"/>
          <w:snapToGrid w:val="0"/>
          <w:kern w:val="2"/>
          <w:sz w:val="24"/>
          <w:szCs w:val="24"/>
        </w:rPr>
      </w:pPr>
      <w:r>
        <w:rPr>
          <w:rFonts w:hint="eastAsia" w:ascii="宋体" w:hAnsi="宋体"/>
          <w:b/>
          <w:bCs/>
          <w:kern w:val="2"/>
          <w:sz w:val="24"/>
          <w:szCs w:val="24"/>
        </w:rPr>
        <w:t>3．社会办医奖励。</w:t>
      </w:r>
      <w:r>
        <w:rPr>
          <w:rFonts w:hint="eastAsia" w:ascii="宋体" w:hAnsi="宋体"/>
          <w:kern w:val="2"/>
          <w:sz w:val="24"/>
          <w:szCs w:val="24"/>
        </w:rPr>
        <w:t>综合民营医院被评为二乙的奖励30万元，</w:t>
      </w:r>
      <w:r>
        <w:rPr>
          <w:rFonts w:hint="eastAsia" w:ascii="宋体" w:hAnsi="宋体"/>
          <w:snapToGrid w:val="0"/>
          <w:kern w:val="2"/>
          <w:sz w:val="24"/>
          <w:szCs w:val="24"/>
        </w:rPr>
        <w:t>评为二甲的奖励50万元；评为三乙的奖励100万元，评为三甲的奖励200万元。专科及中医（含中西医结合）类医院评为二乙的奖励20万元，评为二甲的奖励30万元；评为三乙的奖励50万元，评为三甲的奖励100万元。</w:t>
      </w:r>
    </w:p>
    <w:p>
      <w:pPr>
        <w:pStyle w:val="11"/>
        <w:widowControl w:val="0"/>
        <w:adjustRightInd w:val="0"/>
        <w:snapToGrid w:val="0"/>
        <w:spacing w:line="480" w:lineRule="auto"/>
        <w:ind w:firstLine="472" w:firstLineChars="200"/>
        <w:rPr>
          <w:rFonts w:hint="eastAsia" w:ascii="宋体" w:hAnsi="宋体"/>
          <w:snapToGrid w:val="0"/>
          <w:kern w:val="2"/>
          <w:sz w:val="24"/>
          <w:szCs w:val="24"/>
        </w:rPr>
      </w:pPr>
      <w:r>
        <w:rPr>
          <w:rFonts w:hint="eastAsia" w:ascii="宋体" w:hAnsi="宋体"/>
          <w:b/>
          <w:bCs/>
          <w:snapToGrid w:val="0"/>
          <w:kern w:val="2"/>
          <w:sz w:val="24"/>
          <w:szCs w:val="24"/>
        </w:rPr>
        <w:t>4．专科建设补助。</w:t>
      </w:r>
      <w:r>
        <w:rPr>
          <w:rFonts w:hint="eastAsia" w:ascii="宋体" w:hAnsi="宋体"/>
          <w:snapToGrid w:val="0"/>
          <w:kern w:val="2"/>
          <w:sz w:val="24"/>
          <w:szCs w:val="24"/>
        </w:rPr>
        <w:t>对于获得国家、省、市医学重点专科建设单位的，分别给予一次性40、30、20万元补助。</w:t>
      </w:r>
    </w:p>
    <w:p>
      <w:pPr>
        <w:pStyle w:val="11"/>
        <w:widowControl w:val="0"/>
        <w:adjustRightInd w:val="0"/>
        <w:snapToGrid w:val="0"/>
        <w:spacing w:line="480" w:lineRule="auto"/>
        <w:ind w:firstLine="472" w:firstLineChars="200"/>
        <w:rPr>
          <w:rFonts w:hint="eastAsia" w:ascii="宋体" w:hAnsi="宋体"/>
          <w:snapToGrid w:val="0"/>
          <w:kern w:val="2"/>
          <w:sz w:val="24"/>
          <w:szCs w:val="24"/>
        </w:rPr>
      </w:pPr>
      <w:r>
        <w:rPr>
          <w:rFonts w:hint="eastAsia" w:ascii="宋体" w:hAnsi="宋体"/>
          <w:b/>
          <w:bCs/>
          <w:snapToGrid w:val="0"/>
          <w:kern w:val="2"/>
          <w:sz w:val="24"/>
          <w:szCs w:val="24"/>
        </w:rPr>
        <w:t>5．技术创新资助。</w:t>
      </w:r>
      <w:r>
        <w:rPr>
          <w:rFonts w:hint="eastAsia" w:ascii="宋体" w:hAnsi="宋体"/>
          <w:snapToGrid w:val="0"/>
          <w:kern w:val="2"/>
          <w:sz w:val="24"/>
          <w:szCs w:val="24"/>
        </w:rPr>
        <w:t>进入Ⅰ期临床试验研究资助标准：中药和天然药物、化学药品、生物制品1类，每项资助20万元；中药、天然药物2—4类，化学药品2类，治疗用生物制品2—5类，预防用生物制品2—4类，每项资助10万元。</w:t>
      </w:r>
    </w:p>
    <w:p>
      <w:pPr>
        <w:pStyle w:val="11"/>
        <w:widowControl w:val="0"/>
        <w:adjustRightInd w:val="0"/>
        <w:snapToGrid w:val="0"/>
        <w:spacing w:line="480" w:lineRule="auto"/>
        <w:ind w:firstLine="472" w:firstLineChars="200"/>
        <w:rPr>
          <w:rFonts w:hint="eastAsia" w:ascii="宋体" w:hAnsi="宋体"/>
          <w:snapToGrid w:val="0"/>
          <w:kern w:val="2"/>
          <w:sz w:val="24"/>
          <w:szCs w:val="24"/>
        </w:rPr>
      </w:pPr>
      <w:r>
        <w:rPr>
          <w:rFonts w:hint="eastAsia" w:ascii="宋体" w:hAnsi="宋体"/>
          <w:snapToGrid w:val="0"/>
          <w:kern w:val="2"/>
          <w:sz w:val="24"/>
          <w:szCs w:val="24"/>
        </w:rPr>
        <w:t>进入Ⅱ期临床试验研究资助标准：中药、天然药物、化学药品、生物制品1类，每项资助30万元；中药和天然药物2—4类，化学药品2类，治疗用生物制品2—5类，预防用生物制品2—4类，每项资助20万元。</w:t>
      </w:r>
    </w:p>
    <w:p>
      <w:pPr>
        <w:pStyle w:val="11"/>
        <w:widowControl w:val="0"/>
        <w:adjustRightInd w:val="0"/>
        <w:snapToGrid w:val="0"/>
        <w:spacing w:line="480" w:lineRule="auto"/>
        <w:ind w:firstLine="472" w:firstLineChars="200"/>
        <w:rPr>
          <w:rFonts w:hint="eastAsia" w:ascii="宋体" w:hAnsi="宋体"/>
          <w:snapToGrid w:val="0"/>
          <w:kern w:val="2"/>
          <w:sz w:val="24"/>
          <w:szCs w:val="24"/>
        </w:rPr>
      </w:pPr>
      <w:r>
        <w:rPr>
          <w:rFonts w:hint="eastAsia" w:ascii="宋体" w:hAnsi="宋体"/>
          <w:snapToGrid w:val="0"/>
          <w:kern w:val="2"/>
          <w:sz w:val="24"/>
          <w:szCs w:val="24"/>
        </w:rPr>
        <w:t>进入Ⅲ期临床试验研究资助标准：中药、天然药物、化学药品、生物制品1类，每项资助50万元；中药、天然药物2—4类，化学药品2类，治疗用生物制品2—5类，预防用生物制品2—4类，每项资助30万元。</w:t>
      </w:r>
    </w:p>
    <w:p>
      <w:pPr>
        <w:pStyle w:val="11"/>
        <w:widowControl w:val="0"/>
        <w:adjustRightInd w:val="0"/>
        <w:snapToGrid w:val="0"/>
        <w:spacing w:line="480" w:lineRule="auto"/>
        <w:ind w:firstLine="472" w:firstLineChars="200"/>
        <w:rPr>
          <w:rFonts w:hint="eastAsia" w:ascii="宋体" w:hAnsi="宋体"/>
          <w:snapToGrid w:val="0"/>
          <w:kern w:val="2"/>
          <w:sz w:val="24"/>
          <w:szCs w:val="24"/>
        </w:rPr>
      </w:pPr>
      <w:r>
        <w:rPr>
          <w:rFonts w:hint="eastAsia" w:ascii="宋体" w:hAnsi="宋体"/>
          <w:b/>
          <w:bCs/>
          <w:snapToGrid w:val="0"/>
          <w:kern w:val="2"/>
          <w:sz w:val="24"/>
          <w:szCs w:val="24"/>
        </w:rPr>
        <w:t>6．医疗器械资助。</w:t>
      </w:r>
      <w:r>
        <w:rPr>
          <w:rFonts w:hint="eastAsia" w:ascii="宋体" w:hAnsi="宋体"/>
          <w:snapToGrid w:val="0"/>
          <w:kern w:val="2"/>
          <w:sz w:val="24"/>
          <w:szCs w:val="24"/>
        </w:rPr>
        <w:t>获得二、三类医疗器械首次注册证的医疗器械新产品资助标准：二类每项资助10万元，三类每项资助20万元。</w:t>
      </w:r>
    </w:p>
    <w:p>
      <w:pPr>
        <w:pStyle w:val="11"/>
        <w:widowControl w:val="0"/>
        <w:adjustRightInd w:val="0"/>
        <w:snapToGrid w:val="0"/>
        <w:spacing w:line="480" w:lineRule="auto"/>
        <w:ind w:firstLine="472" w:firstLineChars="200"/>
        <w:rPr>
          <w:rFonts w:hint="eastAsia" w:ascii="宋体" w:hAnsi="宋体"/>
          <w:snapToGrid w:val="0"/>
          <w:kern w:val="2"/>
          <w:sz w:val="24"/>
          <w:szCs w:val="24"/>
        </w:rPr>
      </w:pPr>
      <w:r>
        <w:rPr>
          <w:rFonts w:hint="eastAsia" w:ascii="宋体" w:hAnsi="宋体"/>
          <w:b/>
          <w:bCs/>
          <w:snapToGrid w:val="0"/>
          <w:kern w:val="2"/>
          <w:sz w:val="24"/>
          <w:szCs w:val="24"/>
        </w:rPr>
        <w:t>7．市场开拓奖励。</w:t>
      </w:r>
      <w:r>
        <w:rPr>
          <w:rFonts w:hint="eastAsia" w:ascii="宋体" w:hAnsi="宋体"/>
          <w:snapToGrid w:val="0"/>
          <w:kern w:val="2"/>
          <w:sz w:val="24"/>
          <w:szCs w:val="24"/>
        </w:rPr>
        <w:t>对获得美国、欧盟等国际市场准入许可的药品或医疗器械产品，获得DMF（药品主文件）、COS（欧洲药典适用性认证）或EDMF（欧盟药品主文件）证书，分别给予30万元奖励；获得DMF（药品主文件）、COS（欧洲药典适用性认证）或EDMF（欧盟药品主文件）证书并通过FDA（美国食品药物管理局）或欧盟相关机构的cGMP（动态药品</w:t>
      </w:r>
      <w:r>
        <w:rPr>
          <w:rFonts w:hint="eastAsia" w:ascii="宋体" w:hAnsi="宋体"/>
          <w:snapToGrid w:val="0"/>
          <w:kern w:val="2"/>
          <w:sz w:val="24"/>
          <w:szCs w:val="24"/>
        </w:rPr>
        <w:fldChar w:fldCharType="begin"/>
      </w:r>
      <w:r>
        <w:rPr>
          <w:rFonts w:hint="eastAsia" w:ascii="宋体" w:hAnsi="宋体"/>
          <w:snapToGrid w:val="0"/>
          <w:kern w:val="2"/>
          <w:sz w:val="24"/>
          <w:szCs w:val="24"/>
        </w:rPr>
        <w:instrText xml:space="preserve">HYPERLINK "http://zhidao.baidu.com/search?word=%E7%94%9F%E4%BA%A7%E7%AE%A1%E7%90%86&amp;fr=qb_search_exp&amp;ie=utf8" \t "_blank"</w:instrText>
      </w:r>
      <w:r>
        <w:rPr>
          <w:rFonts w:hint="eastAsia" w:ascii="宋体" w:hAnsi="宋体"/>
          <w:snapToGrid w:val="0"/>
          <w:kern w:val="2"/>
          <w:sz w:val="24"/>
          <w:szCs w:val="24"/>
        </w:rPr>
        <w:fldChar w:fldCharType="separate"/>
      </w:r>
      <w:r>
        <w:rPr>
          <w:rFonts w:hint="eastAsia" w:ascii="宋体" w:hAnsi="宋体"/>
          <w:snapToGrid w:val="0"/>
          <w:kern w:val="2"/>
          <w:sz w:val="24"/>
          <w:szCs w:val="24"/>
        </w:rPr>
        <w:t>生产管理</w:t>
      </w:r>
      <w:r>
        <w:rPr>
          <w:rFonts w:hint="eastAsia" w:ascii="宋体" w:hAnsi="宋体"/>
          <w:snapToGrid w:val="0"/>
          <w:kern w:val="2"/>
          <w:sz w:val="24"/>
          <w:szCs w:val="24"/>
        </w:rPr>
        <w:fldChar w:fldCharType="end"/>
      </w:r>
      <w:r>
        <w:rPr>
          <w:rFonts w:hint="eastAsia" w:ascii="宋体" w:hAnsi="宋体"/>
          <w:snapToGrid w:val="0"/>
          <w:kern w:val="2"/>
          <w:sz w:val="24"/>
          <w:szCs w:val="24"/>
        </w:rPr>
        <w:t>规范）现场检查，分别给予50万元奖励。</w:t>
      </w:r>
    </w:p>
    <w:p>
      <w:pPr>
        <w:pStyle w:val="12"/>
        <w:widowControl w:val="0"/>
        <w:adjustRightInd w:val="0"/>
        <w:snapToGrid w:val="0"/>
        <w:spacing w:line="480" w:lineRule="auto"/>
        <w:ind w:firstLine="472" w:firstLineChars="200"/>
        <w:rPr>
          <w:rFonts w:cs="仿宋_GB2312"/>
        </w:rPr>
      </w:pPr>
      <w:r>
        <w:rPr>
          <w:rFonts w:hint="eastAsia" w:cs="Times New Roman"/>
          <w:b/>
          <w:bCs/>
          <w:snapToGrid w:val="0"/>
          <w:kern w:val="2"/>
          <w:sz w:val="24"/>
          <w:szCs w:val="24"/>
        </w:rPr>
        <w:t>8．重点实验室奖励。</w:t>
      </w:r>
      <w:r>
        <w:rPr>
          <w:rFonts w:hint="eastAsia"/>
          <w:snapToGrid w:val="0"/>
          <w:kern w:val="2"/>
          <w:sz w:val="24"/>
          <w:szCs w:val="24"/>
        </w:rPr>
        <w:t>对上一年度IAB相关领域新获认定为重点实验室的，按国家、省、市级分别一次性奖励500、200、100万元。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japaneseCounting"/>
      <w:pStyle w:val="6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C727C"/>
    <w:rsid w:val="36A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6">
    <w:name w:val=" Char Char Char"/>
    <w:basedOn w:val="7"/>
    <w:link w:val="5"/>
    <w:uiPriority w:val="0"/>
    <w:pPr>
      <w:numPr>
        <w:ilvl w:val="0"/>
        <w:numId w:val="1"/>
      </w:numPr>
    </w:pPr>
  </w:style>
  <w:style w:type="paragraph" w:customStyle="1" w:styleId="7">
    <w:name w:val="正文 New New"/>
    <w:uiPriority w:val="0"/>
    <w:pPr>
      <w:widowControl w:val="0"/>
      <w:snapToGrid w:val="0"/>
      <w:spacing w:line="336" w:lineRule="auto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styleId="8">
    <w:name w:val="page number"/>
    <w:basedOn w:val="5"/>
    <w:uiPriority w:val="0"/>
  </w:style>
  <w:style w:type="paragraph" w:customStyle="1" w:styleId="9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">
    <w:name w:val="正文 New New New New New New"/>
    <w:uiPriority w:val="0"/>
    <w:pPr>
      <w:widowControl w:val="0"/>
      <w:snapToGrid w:val="0"/>
      <w:spacing w:line="336" w:lineRule="auto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p0 New"/>
    <w:basedOn w:val="9"/>
    <w:uiPriority w:val="0"/>
    <w:pPr>
      <w:widowControl/>
    </w:pPr>
    <w:rPr>
      <w:kern w:val="0"/>
      <w:szCs w:val="21"/>
    </w:rPr>
  </w:style>
  <w:style w:type="paragraph" w:customStyle="1" w:styleId="12">
    <w:name w:val="p16"/>
    <w:basedOn w:val="9"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2019-08-18T03:41:00Z</dcterms:created>
  <dc:creator>政务科（外事科、政务公开办）</dc:creator>
  <cp:lastModifiedBy>政务科（外事科、政务公开办）</cp:lastModifiedBy>
  <dcterms:modified xsi:type="dcterms:W3CDTF">2019-08-18T03:41:13Z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