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8F" w:rsidRPr="00C530D8" w:rsidRDefault="00ED398F" w:rsidP="00ED398F">
      <w:pPr>
        <w:widowControl/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C530D8">
        <w:rPr>
          <w:rFonts w:asciiTheme="minorEastAsia" w:eastAsiaTheme="minorEastAsia" w:hAnsiTheme="minorEastAsia" w:hint="eastAsia"/>
          <w:sz w:val="24"/>
        </w:rPr>
        <w:t>广州市经营性公墓护</w:t>
      </w:r>
      <w:proofErr w:type="gramStart"/>
      <w:r w:rsidRPr="00C530D8">
        <w:rPr>
          <w:rFonts w:asciiTheme="minorEastAsia" w:eastAsiaTheme="minorEastAsia" w:hAnsiTheme="minorEastAsia" w:hint="eastAsia"/>
          <w:sz w:val="24"/>
        </w:rPr>
        <w:t>墓资金</w:t>
      </w:r>
      <w:proofErr w:type="gramEnd"/>
      <w:r w:rsidRPr="00C530D8">
        <w:rPr>
          <w:rFonts w:asciiTheme="minorEastAsia" w:eastAsiaTheme="minorEastAsia" w:hAnsiTheme="minorEastAsia" w:hint="eastAsia"/>
          <w:sz w:val="24"/>
        </w:rPr>
        <w:t>管理办法</w:t>
      </w:r>
    </w:p>
    <w:p w:rsidR="00ED398F" w:rsidRPr="00C530D8" w:rsidRDefault="00ED398F" w:rsidP="00ED398F">
      <w:pPr>
        <w:widowControl/>
        <w:spacing w:line="480" w:lineRule="auto"/>
        <w:jc w:val="center"/>
        <w:rPr>
          <w:rFonts w:asciiTheme="minorEastAsia" w:eastAsiaTheme="minorEastAsia" w:hAnsiTheme="minorEastAsia"/>
          <w:sz w:val="24"/>
        </w:rPr>
      </w:pP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rPr>
          <w:rFonts w:asciiTheme="minorEastAsia" w:eastAsiaTheme="minorEastAsia" w:hAnsiTheme="minorEastAsia"/>
          <w:color w:val="8A8A8A"/>
          <w:kern w:val="0"/>
          <w:sz w:val="24"/>
        </w:rPr>
      </w:pP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第一条  为加强经营性公墓管理，规范经营性公墓护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的提取、管理和使用，促进经营性公墓健康有序发展，根据</w:t>
      </w:r>
      <w:r w:rsidRPr="00C530D8">
        <w:rPr>
          <w:rFonts w:asciiTheme="minorEastAsia" w:eastAsiaTheme="minorEastAsia" w:hAnsiTheme="minorEastAsia"/>
          <w:sz w:val="24"/>
        </w:rPr>
        <w:t>《国务院办公厅转发民政部关于进一步加强公墓管理意见的通知》（国办发〔1998〕25号）、广东省民政厅等4厅（局）《关于经营性公墓年度检查的实施办法》（粤民事〔2012〕20号）</w:t>
      </w: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等有关规定，结合本市实际，制定本办法。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第二条  本市行政区域内经营性公墓护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的提取、管理和使用适用本办法。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第三条  本办法所称经营性公墓是指依法批准的经营性墓园和经营性骨灰塔、陵园、骨灰楼等骨灰存放设施。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第四条  本办法所称经营性公墓护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是指经营性公墓缴存并所有，用于经营性公墓墓穴（骨灰存放格位）全部销售后的公墓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正常维护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管理，或遭受突发自然灾害事故、重大变故以及经营不善导致无法维持时的公墓维护管理的资金。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第五条  经营性公墓应当开设护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账户，并与相关民政部门（殡葬管理部门）、银行签订共管协议；实行专户储存、专账管理、专款专用，并接受民政部门监督管理；对纳入财政收支两条线的公墓单位，应按有关财政管理规定执行。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经营性公墓护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共管协议应当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对护墓资金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的提取使用程序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作出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约定，共管协议文本由市殡葬管理处监制。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第六条  经营性公墓应当每半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年按照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墓穴（骨灰格位）销售总收入的3.5%缴存公墓护墓资金。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第七条  经营性公墓应当在年检时出示护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账目备查。</w:t>
      </w:r>
    </w:p>
    <w:p w:rsidR="00ED398F" w:rsidRPr="00C530D8" w:rsidRDefault="00ED398F" w:rsidP="00ED398F">
      <w:pPr>
        <w:numPr>
          <w:ilvl w:val="0"/>
          <w:numId w:val="1"/>
        </w:numPr>
        <w:shd w:val="clear" w:color="auto" w:fill="FFFFFF"/>
        <w:tabs>
          <w:tab w:val="clear" w:pos="2536"/>
          <w:tab w:val="num" w:pos="1938"/>
        </w:tabs>
        <w:snapToGrid w:val="0"/>
        <w:spacing w:line="480" w:lineRule="auto"/>
        <w:ind w:left="0" w:rightChars="-204" w:right="-428" w:firstLine="631"/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lastRenderedPageBreak/>
        <w:t>经营性公墓护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的提取使用程序按照共管协议约定执行。</w:t>
      </w:r>
    </w:p>
    <w:p w:rsidR="00ED398F" w:rsidRPr="00C530D8" w:rsidRDefault="00ED398F" w:rsidP="00ED398F">
      <w:pPr>
        <w:numPr>
          <w:ilvl w:val="0"/>
          <w:numId w:val="1"/>
        </w:numPr>
        <w:shd w:val="clear" w:color="auto" w:fill="FFFFFF"/>
        <w:tabs>
          <w:tab w:val="clear" w:pos="2536"/>
          <w:tab w:val="num" w:pos="1938"/>
        </w:tabs>
        <w:snapToGrid w:val="0"/>
        <w:spacing w:line="480" w:lineRule="auto"/>
        <w:ind w:left="0" w:rightChars="-204" w:right="-428" w:firstLine="640"/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经营性公墓每次申请使用护</w:t>
      </w:r>
      <w:proofErr w:type="gramStart"/>
      <w:r w:rsidRPr="00C530D8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墓基金</w:t>
      </w:r>
      <w:proofErr w:type="gramEnd"/>
      <w:r w:rsidRPr="00C530D8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不得超过本单位所交纳公墓护</w:t>
      </w:r>
      <w:proofErr w:type="gramStart"/>
      <w:r w:rsidRPr="00C530D8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账面总额的30%，前后两次的时间间隔不少于两年。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第十条  经营性公墓护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可以实行增值计划，但仅限于转存为定期存款或者购买国债。护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增值收益归各经营性公墓所有。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199" w:firstLine="478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第十一条  经营性公墓主体变更的，护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不应少于变更前的护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账面金额。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第十二条  经营性公墓解散、被撤销或因其他原因终止经营的，应当妥善安置骨灰、骨殖；未妥善安置骨灰、骨殖的，区、县级市民政部门或殡葬管理部门可以根据共管协议约定，动用护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安置骨灰、骨殖。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第十三条  经营性公墓未缴纳护</w:t>
      </w:r>
      <w:proofErr w:type="gramStart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墓资金</w:t>
      </w:r>
      <w:proofErr w:type="gramEnd"/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的，由民政部门责令限期改正；逾期不改正的，依法予以处理。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Chars="196" w:firstLine="47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第十四条  本办法自2015年</w:t>
      </w:r>
      <w:r w:rsidRPr="00C530D8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4</w:t>
      </w: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月</w:t>
      </w:r>
      <w:r w:rsidRPr="00C530D8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1</w:t>
      </w:r>
      <w:r w:rsidRPr="00C530D8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日起施行，有效期5年。相关法律、政策依据变化或有效期届满，根据实施情况依法评估修订。</w:t>
      </w:r>
    </w:p>
    <w:p w:rsidR="00ED398F" w:rsidRPr="00C530D8" w:rsidRDefault="00ED398F" w:rsidP="00ED398F">
      <w:pPr>
        <w:shd w:val="clear" w:color="auto" w:fill="FFFFFF"/>
        <w:snapToGrid w:val="0"/>
        <w:spacing w:line="480" w:lineRule="auto"/>
        <w:ind w:rightChars="-204" w:right="-428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</w:p>
    <w:p w:rsidR="00ED398F" w:rsidRPr="00C530D8" w:rsidRDefault="00ED398F" w:rsidP="00ED398F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5420E4" w:rsidRPr="00ED398F" w:rsidRDefault="005420E4"/>
    <w:sectPr w:rsidR="005420E4" w:rsidRPr="00ED398F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53375"/>
    <w:multiLevelType w:val="hybridMultilevel"/>
    <w:tmpl w:val="6F80F4BE"/>
    <w:lvl w:ilvl="0" w:tplc="ED9C13A8">
      <w:start w:val="8"/>
      <w:numFmt w:val="japaneseCounting"/>
      <w:lvlText w:val="第%1条"/>
      <w:lvlJc w:val="left"/>
      <w:pPr>
        <w:tabs>
          <w:tab w:val="num" w:pos="2536"/>
        </w:tabs>
        <w:ind w:left="2536" w:hanging="19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1"/>
        </w:tabs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1"/>
        </w:tabs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1"/>
        </w:tabs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98F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02B2B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ED398F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2017-06-14T02:26:00Z</dcterms:created>
  <dcterms:modified xsi:type="dcterms:W3CDTF">2017-06-14T02:26:00Z</dcterms:modified>
</cp:coreProperties>
</file>