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D1" w:rsidRPr="00481BD5" w:rsidRDefault="002641D1" w:rsidP="002641D1">
      <w:pPr>
        <w:pStyle w:val="a5"/>
        <w:spacing w:before="0" w:beforeAutospacing="0" w:after="0" w:afterAutospacing="0" w:line="480" w:lineRule="auto"/>
        <w:rPr>
          <w:color w:val="000000"/>
        </w:rPr>
      </w:pPr>
      <w:bookmarkStart w:id="0" w:name="_GoBack"/>
      <w:r w:rsidRPr="00481BD5">
        <w:rPr>
          <w:rFonts w:hint="eastAsia"/>
          <w:color w:val="000000"/>
        </w:rPr>
        <w:t>附件1：</w:t>
      </w:r>
    </w:p>
    <w:p w:rsidR="002641D1" w:rsidRPr="00481BD5" w:rsidRDefault="002641D1" w:rsidP="002641D1">
      <w:pPr>
        <w:pStyle w:val="a5"/>
        <w:spacing w:before="0" w:beforeAutospacing="0" w:after="0" w:afterAutospacing="0" w:line="480" w:lineRule="auto"/>
        <w:rPr>
          <w:color w:val="000000"/>
        </w:rPr>
      </w:pPr>
      <w:r w:rsidRPr="00481BD5">
        <w:rPr>
          <w:rFonts w:hint="eastAsia"/>
          <w:color w:val="000000"/>
        </w:rPr>
        <w:t> </w:t>
      </w:r>
    </w:p>
    <w:p w:rsidR="002641D1" w:rsidRPr="00481BD5" w:rsidRDefault="002641D1" w:rsidP="002641D1">
      <w:pPr>
        <w:pStyle w:val="a5"/>
        <w:spacing w:before="0" w:beforeAutospacing="0" w:after="0" w:afterAutospacing="0" w:line="480" w:lineRule="auto"/>
        <w:jc w:val="center"/>
        <w:rPr>
          <w:rFonts w:hint="eastAsia"/>
          <w:color w:val="000000"/>
        </w:rPr>
      </w:pPr>
      <w:r w:rsidRPr="00481BD5">
        <w:rPr>
          <w:rFonts w:hint="eastAsia"/>
          <w:bCs/>
          <w:color w:val="000000"/>
        </w:rPr>
        <w:t>广州市事业单位高、中级专业技术</w:t>
      </w:r>
      <w:r w:rsidRPr="00481BD5">
        <w:rPr>
          <w:rFonts w:hint="eastAsia"/>
          <w:bCs/>
          <w:color w:val="000000"/>
        </w:rPr>
        <w:br/>
        <w:t>职务结构比例控制数</w:t>
      </w:r>
    </w:p>
    <w:p w:rsidR="002641D1" w:rsidRPr="00481BD5" w:rsidRDefault="002641D1" w:rsidP="002641D1">
      <w:pPr>
        <w:pStyle w:val="a5"/>
        <w:spacing w:before="0" w:beforeAutospacing="0" w:after="0" w:afterAutospacing="0" w:line="480" w:lineRule="auto"/>
        <w:rPr>
          <w:color w:val="000000"/>
        </w:rPr>
      </w:pPr>
      <w:r w:rsidRPr="00481BD5">
        <w:rPr>
          <w:rFonts w:hint="eastAsia"/>
          <w:color w:val="000000"/>
        </w:rPr>
        <w:t> </w:t>
      </w:r>
    </w:p>
    <w:p w:rsidR="002641D1" w:rsidRPr="00481BD5" w:rsidRDefault="002641D1" w:rsidP="002641D1">
      <w:pPr>
        <w:pStyle w:val="a5"/>
        <w:spacing w:before="0" w:beforeAutospacing="0" w:after="0" w:afterAutospacing="0" w:line="480" w:lineRule="auto"/>
        <w:rPr>
          <w:color w:val="000000"/>
        </w:rPr>
      </w:pPr>
      <w:r w:rsidRPr="00481BD5">
        <w:rPr>
          <w:rFonts w:hint="eastAsia"/>
          <w:color w:val="000000"/>
        </w:rPr>
        <w:t>一、高等院校和高等职业教育</w:t>
      </w:r>
      <w:r w:rsidRPr="00481BD5">
        <w:rPr>
          <w:rFonts w:hint="eastAsia"/>
          <w:color w:val="000000"/>
        </w:rPr>
        <w:br/>
        <w:t>（一）具有硕士及以上学位授予权的教学科研型院校</w:t>
      </w:r>
      <w:r w:rsidRPr="00481BD5">
        <w:rPr>
          <w:rFonts w:hint="eastAsia"/>
          <w:color w:val="000000"/>
        </w:rPr>
        <w:br/>
        <w:t>高级： 40—50%（其中正高级：15%）</w:t>
      </w:r>
      <w:r w:rsidRPr="00481BD5">
        <w:rPr>
          <w:rFonts w:hint="eastAsia"/>
          <w:color w:val="000000"/>
        </w:rPr>
        <w:br/>
        <w:t>中级： 35—38%</w:t>
      </w:r>
      <w:r w:rsidRPr="00481BD5">
        <w:rPr>
          <w:rFonts w:hint="eastAsia"/>
          <w:color w:val="000000"/>
        </w:rPr>
        <w:br/>
        <w:t>（二）一般本科院校</w:t>
      </w:r>
      <w:r w:rsidRPr="00481BD5">
        <w:rPr>
          <w:rFonts w:hint="eastAsia"/>
          <w:color w:val="000000"/>
        </w:rPr>
        <w:br/>
        <w:t>高级： 30—35%（其中正高级：8%）</w:t>
      </w:r>
      <w:r w:rsidRPr="00481BD5">
        <w:rPr>
          <w:rFonts w:hint="eastAsia"/>
          <w:color w:val="000000"/>
        </w:rPr>
        <w:br/>
        <w:t>中级： 40—48%</w:t>
      </w:r>
      <w:r w:rsidRPr="00481BD5">
        <w:rPr>
          <w:rFonts w:hint="eastAsia"/>
          <w:color w:val="000000"/>
        </w:rPr>
        <w:br/>
        <w:t>（三）高等专科学校、成人高校、职业技术学院、高级技工学校</w:t>
      </w:r>
      <w:r w:rsidRPr="00481BD5">
        <w:rPr>
          <w:rFonts w:hint="eastAsia"/>
          <w:color w:val="000000"/>
        </w:rPr>
        <w:br/>
        <w:t>高级： 20—30%（其中正高级：4.5%）</w:t>
      </w:r>
      <w:r w:rsidRPr="00481BD5">
        <w:rPr>
          <w:rFonts w:hint="eastAsia"/>
          <w:color w:val="000000"/>
        </w:rPr>
        <w:br/>
        <w:t>中级： 40—48%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br/>
        <w:t>二、中等职业教育（含中专学校、技工学校、职业高级中学）</w:t>
      </w:r>
      <w:r w:rsidRPr="00481BD5">
        <w:rPr>
          <w:rFonts w:hint="eastAsia"/>
          <w:color w:val="000000"/>
        </w:rPr>
        <w:br/>
        <w:t>（一）国家级重点中等职业学校</w:t>
      </w:r>
      <w:r w:rsidRPr="00481BD5">
        <w:rPr>
          <w:rFonts w:hint="eastAsia"/>
          <w:color w:val="000000"/>
        </w:rPr>
        <w:br/>
        <w:t>高级： 20—30%</w:t>
      </w:r>
      <w:r w:rsidRPr="00481BD5">
        <w:rPr>
          <w:rFonts w:hint="eastAsia"/>
          <w:color w:val="000000"/>
        </w:rPr>
        <w:br/>
        <w:t>中级： 40—45%</w:t>
      </w:r>
      <w:r w:rsidRPr="00481BD5">
        <w:rPr>
          <w:rFonts w:hint="eastAsia"/>
          <w:color w:val="000000"/>
        </w:rPr>
        <w:br/>
        <w:t>（二）办学水平一、二级中专学校、省级重点中等职业学校</w:t>
      </w:r>
      <w:r w:rsidRPr="00481BD5">
        <w:rPr>
          <w:rFonts w:hint="eastAsia"/>
          <w:color w:val="000000"/>
        </w:rPr>
        <w:br/>
        <w:t>1、办学水平一级中专学校、省重点中等职业学校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lastRenderedPageBreak/>
        <w:t>高级：18—20%</w:t>
      </w:r>
      <w:r w:rsidRPr="00481BD5">
        <w:rPr>
          <w:rFonts w:hint="eastAsia"/>
          <w:color w:val="000000"/>
        </w:rPr>
        <w:br/>
        <w:t>中级：40—50%</w:t>
      </w:r>
      <w:r w:rsidRPr="00481BD5">
        <w:rPr>
          <w:rFonts w:hint="eastAsia"/>
          <w:color w:val="000000"/>
        </w:rPr>
        <w:br/>
        <w:t>2、办学水平二级中专学校、省一类技工学校、市级重点职业高中</w:t>
      </w:r>
      <w:r w:rsidRPr="00481BD5">
        <w:rPr>
          <w:rFonts w:hint="eastAsia"/>
          <w:color w:val="000000"/>
        </w:rPr>
        <w:br/>
        <w:t>高级：15—18%</w:t>
      </w:r>
      <w:r w:rsidRPr="00481BD5">
        <w:rPr>
          <w:rFonts w:hint="eastAsia"/>
          <w:color w:val="000000"/>
        </w:rPr>
        <w:br/>
        <w:t>中级：40—48%</w:t>
      </w:r>
      <w:r w:rsidRPr="00481BD5">
        <w:rPr>
          <w:rFonts w:hint="eastAsia"/>
          <w:color w:val="000000"/>
        </w:rPr>
        <w:br/>
        <w:t>（三）办学水平三级中专学校</w:t>
      </w:r>
      <w:r w:rsidRPr="00481BD5">
        <w:rPr>
          <w:rFonts w:hint="eastAsia"/>
          <w:color w:val="000000"/>
        </w:rPr>
        <w:br/>
        <w:t>高级： 12—15%</w:t>
      </w:r>
      <w:r w:rsidRPr="00481BD5">
        <w:rPr>
          <w:rFonts w:hint="eastAsia"/>
          <w:color w:val="000000"/>
        </w:rPr>
        <w:br/>
        <w:t>中级： 42—45%</w:t>
      </w:r>
      <w:r w:rsidRPr="00481BD5">
        <w:rPr>
          <w:rFonts w:hint="eastAsia"/>
          <w:color w:val="000000"/>
        </w:rPr>
        <w:br/>
        <w:t>（四）其他中等职业学校</w:t>
      </w:r>
      <w:r w:rsidRPr="00481BD5">
        <w:rPr>
          <w:rFonts w:hint="eastAsia"/>
          <w:color w:val="000000"/>
        </w:rPr>
        <w:br/>
        <w:t>高级： 10—12%</w:t>
      </w:r>
      <w:r w:rsidRPr="00481BD5">
        <w:rPr>
          <w:rFonts w:hint="eastAsia"/>
          <w:color w:val="000000"/>
        </w:rPr>
        <w:br/>
        <w:t>中级： 40—42%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br/>
        <w:t>三、普通中学  </w:t>
      </w:r>
      <w:r w:rsidRPr="00481BD5">
        <w:rPr>
          <w:rStyle w:val="apple-converted-space"/>
          <w:rFonts w:hint="eastAsia"/>
          <w:color w:val="000000"/>
        </w:rPr>
        <w:t> </w:t>
      </w:r>
      <w:r w:rsidRPr="00481BD5">
        <w:rPr>
          <w:rFonts w:hint="eastAsia"/>
          <w:color w:val="000000"/>
        </w:rPr>
        <w:br/>
        <w:t>（一）国家级示范性高中</w:t>
      </w:r>
      <w:r w:rsidRPr="00481BD5">
        <w:rPr>
          <w:rFonts w:hint="eastAsia"/>
          <w:color w:val="000000"/>
        </w:rPr>
        <w:br/>
        <w:t>高级： 29—33%</w:t>
      </w:r>
      <w:r w:rsidRPr="00481BD5">
        <w:rPr>
          <w:rFonts w:hint="eastAsia"/>
          <w:color w:val="000000"/>
        </w:rPr>
        <w:br/>
        <w:t>中级： 42—45%</w:t>
      </w:r>
      <w:r w:rsidRPr="00481BD5">
        <w:rPr>
          <w:rFonts w:hint="eastAsia"/>
          <w:color w:val="000000"/>
        </w:rPr>
        <w:br/>
        <w:t>（二）省一级中学</w:t>
      </w:r>
      <w:r w:rsidRPr="00481BD5">
        <w:rPr>
          <w:rFonts w:hint="eastAsia"/>
          <w:color w:val="000000"/>
        </w:rPr>
        <w:br/>
        <w:t>1、高中</w:t>
      </w:r>
      <w:r w:rsidRPr="00481BD5">
        <w:rPr>
          <w:rFonts w:hint="eastAsia"/>
          <w:color w:val="000000"/>
        </w:rPr>
        <w:br/>
        <w:t>高级： 29—32%</w:t>
      </w:r>
      <w:r w:rsidRPr="00481BD5">
        <w:rPr>
          <w:rFonts w:hint="eastAsia"/>
          <w:color w:val="000000"/>
        </w:rPr>
        <w:br/>
        <w:t>中级： 42—45%</w:t>
      </w:r>
      <w:r w:rsidRPr="00481BD5">
        <w:rPr>
          <w:rFonts w:hint="eastAsia"/>
          <w:color w:val="000000"/>
        </w:rPr>
        <w:br/>
        <w:t>2、初中</w:t>
      </w:r>
      <w:r w:rsidRPr="00481BD5">
        <w:rPr>
          <w:rFonts w:hint="eastAsia"/>
          <w:color w:val="000000"/>
        </w:rPr>
        <w:br/>
        <w:t>高级： 15—18%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lastRenderedPageBreak/>
        <w:t>中级： 53—55%</w:t>
      </w:r>
      <w:r w:rsidRPr="00481BD5">
        <w:rPr>
          <w:rFonts w:hint="eastAsia"/>
          <w:color w:val="000000"/>
        </w:rPr>
        <w:br/>
        <w:t>（三）市一级中学</w:t>
      </w:r>
      <w:r w:rsidRPr="00481BD5">
        <w:rPr>
          <w:rFonts w:hint="eastAsia"/>
          <w:color w:val="000000"/>
        </w:rPr>
        <w:br/>
        <w:t>1、高中</w:t>
      </w:r>
      <w:r w:rsidRPr="00481BD5">
        <w:rPr>
          <w:rFonts w:hint="eastAsia"/>
          <w:color w:val="000000"/>
        </w:rPr>
        <w:br/>
        <w:t>高级： 26—29%</w:t>
      </w:r>
      <w:r w:rsidRPr="00481BD5">
        <w:rPr>
          <w:rFonts w:hint="eastAsia"/>
          <w:color w:val="000000"/>
        </w:rPr>
        <w:br/>
        <w:t>中级： 40—43%</w:t>
      </w:r>
      <w:r w:rsidRPr="00481BD5">
        <w:rPr>
          <w:rFonts w:hint="eastAsia"/>
          <w:color w:val="000000"/>
        </w:rPr>
        <w:br/>
        <w:t>2、初中</w:t>
      </w:r>
      <w:r w:rsidRPr="00481BD5">
        <w:rPr>
          <w:rFonts w:hint="eastAsia"/>
          <w:color w:val="000000"/>
        </w:rPr>
        <w:br/>
        <w:t>高级： 13—15%</w:t>
      </w:r>
      <w:r w:rsidRPr="00481BD5">
        <w:rPr>
          <w:rFonts w:hint="eastAsia"/>
          <w:color w:val="000000"/>
        </w:rPr>
        <w:br/>
        <w:t>中级： 51—53%</w:t>
      </w:r>
      <w:r w:rsidRPr="00481BD5">
        <w:rPr>
          <w:rFonts w:hint="eastAsia"/>
          <w:color w:val="000000"/>
        </w:rPr>
        <w:br/>
        <w:t>（四）区、县级市一级中学</w:t>
      </w:r>
      <w:r w:rsidRPr="00481BD5">
        <w:rPr>
          <w:rFonts w:hint="eastAsia"/>
          <w:color w:val="000000"/>
        </w:rPr>
        <w:br/>
        <w:t>1、高中</w:t>
      </w:r>
      <w:r w:rsidRPr="00481BD5">
        <w:rPr>
          <w:rFonts w:hint="eastAsia"/>
          <w:color w:val="000000"/>
        </w:rPr>
        <w:br/>
        <w:t>高级： 23—26%</w:t>
      </w:r>
      <w:r w:rsidRPr="00481BD5">
        <w:rPr>
          <w:rFonts w:hint="eastAsia"/>
          <w:color w:val="000000"/>
        </w:rPr>
        <w:br/>
        <w:t>中级： 38—41%</w:t>
      </w:r>
      <w:r w:rsidRPr="00481BD5">
        <w:rPr>
          <w:rFonts w:hint="eastAsia"/>
          <w:color w:val="000000"/>
        </w:rPr>
        <w:br/>
        <w:t>2、初中</w:t>
      </w:r>
      <w:r w:rsidRPr="00481BD5">
        <w:rPr>
          <w:rFonts w:hint="eastAsia"/>
          <w:color w:val="000000"/>
        </w:rPr>
        <w:br/>
        <w:t>高级： 11—13%</w:t>
      </w:r>
      <w:r w:rsidRPr="00481BD5">
        <w:rPr>
          <w:rFonts w:hint="eastAsia"/>
          <w:color w:val="000000"/>
        </w:rPr>
        <w:br/>
        <w:t>中级： 49—51%</w:t>
      </w:r>
      <w:r w:rsidRPr="00481BD5">
        <w:rPr>
          <w:rFonts w:hint="eastAsia"/>
          <w:color w:val="000000"/>
        </w:rPr>
        <w:br/>
        <w:t>（五）一般完全中学</w:t>
      </w:r>
      <w:r w:rsidRPr="00481BD5">
        <w:rPr>
          <w:rFonts w:hint="eastAsia"/>
          <w:color w:val="000000"/>
        </w:rPr>
        <w:br/>
        <w:t>1、高中</w:t>
      </w:r>
      <w:r w:rsidRPr="00481BD5">
        <w:rPr>
          <w:rFonts w:hint="eastAsia"/>
          <w:color w:val="000000"/>
        </w:rPr>
        <w:br/>
        <w:t>高级： 20—23%</w:t>
      </w:r>
      <w:r w:rsidRPr="00481BD5">
        <w:rPr>
          <w:rFonts w:hint="eastAsia"/>
          <w:color w:val="000000"/>
        </w:rPr>
        <w:br/>
        <w:t>中级： 35—38%</w:t>
      </w:r>
      <w:r w:rsidRPr="00481BD5">
        <w:rPr>
          <w:rFonts w:hint="eastAsia"/>
          <w:color w:val="000000"/>
        </w:rPr>
        <w:br/>
        <w:t>2、初中</w:t>
      </w:r>
      <w:r w:rsidRPr="00481BD5">
        <w:rPr>
          <w:rFonts w:hint="eastAsia"/>
          <w:color w:val="000000"/>
        </w:rPr>
        <w:br/>
        <w:t>高级： 5—11%</w:t>
      </w:r>
      <w:r w:rsidRPr="00481BD5">
        <w:rPr>
          <w:rFonts w:hint="eastAsia"/>
          <w:color w:val="000000"/>
        </w:rPr>
        <w:br/>
        <w:t>中级： 45—49%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lastRenderedPageBreak/>
        <w:t>（六）初级中学</w:t>
      </w:r>
      <w:r w:rsidRPr="00481BD5">
        <w:rPr>
          <w:rFonts w:hint="eastAsia"/>
          <w:color w:val="000000"/>
        </w:rPr>
        <w:br/>
        <w:t>高级： 5—11%</w:t>
      </w:r>
      <w:r w:rsidRPr="00481BD5">
        <w:rPr>
          <w:rFonts w:hint="eastAsia"/>
          <w:color w:val="000000"/>
        </w:rPr>
        <w:br/>
        <w:t>中级： 45—49%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br/>
        <w:t>四、小学</w:t>
      </w:r>
      <w:r w:rsidRPr="00481BD5">
        <w:rPr>
          <w:rFonts w:hint="eastAsia"/>
          <w:color w:val="000000"/>
        </w:rPr>
        <w:br/>
        <w:t>（一）省一级小学</w:t>
      </w:r>
      <w:r w:rsidRPr="00481BD5">
        <w:rPr>
          <w:rFonts w:hint="eastAsia"/>
          <w:color w:val="000000"/>
        </w:rPr>
        <w:br/>
        <w:t>中级： 42—45%</w:t>
      </w:r>
      <w:r w:rsidRPr="00481BD5">
        <w:rPr>
          <w:rFonts w:hint="eastAsia"/>
          <w:color w:val="000000"/>
        </w:rPr>
        <w:br/>
        <w:t>（二）市一级小学</w:t>
      </w:r>
      <w:r w:rsidRPr="00481BD5">
        <w:rPr>
          <w:rFonts w:hint="eastAsia"/>
          <w:color w:val="000000"/>
        </w:rPr>
        <w:br/>
        <w:t>中级： 39—42%</w:t>
      </w:r>
      <w:r w:rsidRPr="00481BD5">
        <w:rPr>
          <w:rFonts w:hint="eastAsia"/>
          <w:color w:val="000000"/>
        </w:rPr>
        <w:br/>
        <w:t>（三）区、县级市一级小学和乡镇中心小学</w:t>
      </w:r>
      <w:r w:rsidRPr="00481BD5">
        <w:rPr>
          <w:rFonts w:hint="eastAsia"/>
          <w:color w:val="000000"/>
        </w:rPr>
        <w:br/>
        <w:t>中级： 36—39%</w:t>
      </w:r>
      <w:r w:rsidRPr="00481BD5">
        <w:rPr>
          <w:rFonts w:hint="eastAsia"/>
          <w:color w:val="000000"/>
        </w:rPr>
        <w:br/>
        <w:t>（四）其他小学</w:t>
      </w:r>
      <w:r w:rsidRPr="00481BD5">
        <w:rPr>
          <w:rFonts w:hint="eastAsia"/>
          <w:color w:val="000000"/>
        </w:rPr>
        <w:br/>
        <w:t>中级： 30—36%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br/>
        <w:t>五、幼儿园</w:t>
      </w:r>
      <w:r w:rsidRPr="00481BD5">
        <w:rPr>
          <w:rFonts w:hint="eastAsia"/>
          <w:color w:val="000000"/>
        </w:rPr>
        <w:br/>
        <w:t>（一）省一级幼儿园</w:t>
      </w:r>
      <w:r w:rsidRPr="00481BD5">
        <w:rPr>
          <w:rFonts w:hint="eastAsia"/>
          <w:color w:val="000000"/>
        </w:rPr>
        <w:br/>
        <w:t>中级： 41—44%</w:t>
      </w:r>
      <w:r w:rsidRPr="00481BD5">
        <w:rPr>
          <w:rFonts w:hint="eastAsia"/>
          <w:color w:val="000000"/>
        </w:rPr>
        <w:br/>
        <w:t>（二）市一级幼儿园</w:t>
      </w:r>
      <w:r w:rsidRPr="00481BD5">
        <w:rPr>
          <w:rFonts w:hint="eastAsia"/>
          <w:color w:val="000000"/>
        </w:rPr>
        <w:br/>
        <w:t>中级： 38—41%</w:t>
      </w:r>
      <w:r w:rsidRPr="00481BD5">
        <w:rPr>
          <w:rFonts w:hint="eastAsia"/>
          <w:color w:val="000000"/>
        </w:rPr>
        <w:br/>
        <w:t>（三）区、县级市一级幼儿园、示范性乡镇幼儿园</w:t>
      </w:r>
      <w:r w:rsidRPr="00481BD5">
        <w:rPr>
          <w:rFonts w:hint="eastAsia"/>
          <w:color w:val="000000"/>
        </w:rPr>
        <w:br/>
        <w:t>中级： 35—38%</w:t>
      </w:r>
      <w:r w:rsidRPr="00481BD5">
        <w:rPr>
          <w:rFonts w:hint="eastAsia"/>
          <w:color w:val="000000"/>
        </w:rPr>
        <w:br/>
        <w:t>（四）其他幼儿园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lastRenderedPageBreak/>
        <w:t>中级： 30—35%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br/>
        <w:t>六、教研室、教科所、电教馆</w:t>
      </w:r>
      <w:r w:rsidRPr="00481BD5">
        <w:rPr>
          <w:rFonts w:hint="eastAsia"/>
          <w:color w:val="000000"/>
        </w:rPr>
        <w:br/>
        <w:t>（一）教研室、教科所</w:t>
      </w:r>
      <w:r w:rsidRPr="00481BD5">
        <w:rPr>
          <w:rFonts w:hint="eastAsia"/>
          <w:color w:val="000000"/>
        </w:rPr>
        <w:br/>
        <w:t>1、市教研室</w:t>
      </w:r>
      <w:r w:rsidRPr="00481BD5">
        <w:rPr>
          <w:rFonts w:hint="eastAsia"/>
          <w:color w:val="000000"/>
        </w:rPr>
        <w:br/>
        <w:t>高级： 35—50%</w:t>
      </w:r>
      <w:r w:rsidRPr="00481BD5">
        <w:rPr>
          <w:rFonts w:hint="eastAsia"/>
          <w:color w:val="000000"/>
        </w:rPr>
        <w:br/>
        <w:t>中级： 25—35%</w:t>
      </w:r>
      <w:r w:rsidRPr="00481BD5">
        <w:rPr>
          <w:rFonts w:hint="eastAsia"/>
          <w:color w:val="000000"/>
        </w:rPr>
        <w:br/>
        <w:t>2、市教科所（教科中心）</w:t>
      </w:r>
      <w:r w:rsidRPr="00481BD5">
        <w:rPr>
          <w:rFonts w:hint="eastAsia"/>
          <w:color w:val="000000"/>
        </w:rPr>
        <w:br/>
        <w:t>高级： 30—35%</w:t>
      </w:r>
      <w:r w:rsidRPr="00481BD5">
        <w:rPr>
          <w:rFonts w:hint="eastAsia"/>
          <w:color w:val="000000"/>
        </w:rPr>
        <w:br/>
        <w:t>中级： 40—48%</w:t>
      </w:r>
      <w:r w:rsidRPr="00481BD5">
        <w:rPr>
          <w:rFonts w:hint="eastAsia"/>
          <w:color w:val="000000"/>
        </w:rPr>
        <w:br/>
        <w:t>3、区、县级市教研室</w:t>
      </w:r>
      <w:r w:rsidRPr="00481BD5">
        <w:rPr>
          <w:rFonts w:hint="eastAsia"/>
          <w:color w:val="000000"/>
        </w:rPr>
        <w:br/>
        <w:t>高级： 30—35%</w:t>
      </w:r>
      <w:r w:rsidRPr="00481BD5">
        <w:rPr>
          <w:rFonts w:hint="eastAsia"/>
          <w:color w:val="000000"/>
        </w:rPr>
        <w:br/>
        <w:t>中级： 40—48%</w:t>
      </w:r>
      <w:r w:rsidRPr="00481BD5">
        <w:rPr>
          <w:rFonts w:hint="eastAsia"/>
          <w:color w:val="000000"/>
        </w:rPr>
        <w:br/>
        <w:t>（二）电教馆</w:t>
      </w:r>
      <w:r w:rsidRPr="00481BD5">
        <w:rPr>
          <w:rFonts w:hint="eastAsia"/>
          <w:color w:val="000000"/>
        </w:rPr>
        <w:br/>
        <w:t>1、市级</w:t>
      </w:r>
      <w:r w:rsidRPr="00481BD5">
        <w:rPr>
          <w:rFonts w:hint="eastAsia"/>
          <w:color w:val="000000"/>
        </w:rPr>
        <w:br/>
        <w:t>高级： 20—25%</w:t>
      </w:r>
      <w:r w:rsidRPr="00481BD5">
        <w:rPr>
          <w:rFonts w:hint="eastAsia"/>
          <w:color w:val="000000"/>
        </w:rPr>
        <w:br/>
        <w:t>中级： 40—50%</w:t>
      </w:r>
      <w:r w:rsidRPr="00481BD5">
        <w:rPr>
          <w:rFonts w:hint="eastAsia"/>
          <w:color w:val="000000"/>
        </w:rPr>
        <w:br/>
        <w:t>2、区、县级市</w:t>
      </w:r>
      <w:r w:rsidRPr="00481BD5">
        <w:rPr>
          <w:rFonts w:hint="eastAsia"/>
          <w:color w:val="000000"/>
        </w:rPr>
        <w:br/>
        <w:t>高级： 15—20%</w:t>
      </w:r>
      <w:r w:rsidRPr="00481BD5">
        <w:rPr>
          <w:rFonts w:hint="eastAsia"/>
          <w:color w:val="000000"/>
        </w:rPr>
        <w:br/>
        <w:t>中级： 40—50%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br/>
        <w:t>七、科研设计单位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lastRenderedPageBreak/>
        <w:t>（一）学科研究在国内属先进，以承担国家和省部级科研项目为主，科研手段先进，有一定的优势和特色，科研成果多次获得国家和省部级奖的院所，以及承担大、中型项目设计为主的设计院所。</w:t>
      </w:r>
      <w:r w:rsidRPr="00481BD5">
        <w:rPr>
          <w:rFonts w:hint="eastAsia"/>
          <w:color w:val="000000"/>
        </w:rPr>
        <w:br/>
        <w:t>高级： 35—40%（其中正高级：13%）</w:t>
      </w:r>
      <w:r w:rsidRPr="00481BD5">
        <w:rPr>
          <w:rFonts w:hint="eastAsia"/>
          <w:color w:val="000000"/>
        </w:rPr>
        <w:br/>
        <w:t>中级： 35—38%</w:t>
      </w:r>
      <w:r w:rsidRPr="00481BD5">
        <w:rPr>
          <w:rFonts w:hint="eastAsia"/>
          <w:color w:val="000000"/>
        </w:rPr>
        <w:br/>
        <w:t>（二）主要承担地、市级科研项目，或从事行业技术及产品开发、技术推广有一定科研成果的科研院所，以及从事中小型项目设计为主的设计院所。</w:t>
      </w:r>
      <w:r w:rsidRPr="00481BD5">
        <w:rPr>
          <w:rFonts w:hint="eastAsia"/>
          <w:color w:val="000000"/>
        </w:rPr>
        <w:br/>
        <w:t>高级： 25—30%（其中正高级：10%）</w:t>
      </w:r>
      <w:r w:rsidRPr="00481BD5">
        <w:rPr>
          <w:rFonts w:hint="eastAsia"/>
          <w:color w:val="000000"/>
        </w:rPr>
        <w:br/>
        <w:t>中级： 32—36%</w:t>
      </w:r>
      <w:r w:rsidRPr="00481BD5">
        <w:rPr>
          <w:rFonts w:hint="eastAsia"/>
          <w:color w:val="000000"/>
        </w:rPr>
        <w:br/>
        <w:t>（三）承担一般科研任务的科研所，以及区、县级市以承担小型设计项目为主的设计单位。</w:t>
      </w:r>
      <w:r w:rsidRPr="00481BD5">
        <w:rPr>
          <w:rFonts w:hint="eastAsia"/>
          <w:color w:val="000000"/>
        </w:rPr>
        <w:br/>
        <w:t>高级： 15—20%（一般不设正高级职务）</w:t>
      </w:r>
      <w:r w:rsidRPr="00481BD5">
        <w:rPr>
          <w:rFonts w:hint="eastAsia"/>
          <w:color w:val="000000"/>
        </w:rPr>
        <w:br/>
        <w:t>中级： 30—35%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br/>
        <w:t>八、医疗卫生机构</w:t>
      </w:r>
      <w:r w:rsidRPr="00481BD5">
        <w:rPr>
          <w:rFonts w:hint="eastAsia"/>
          <w:color w:val="000000"/>
        </w:rPr>
        <w:br/>
        <w:t>（一）三级医院</w:t>
      </w:r>
      <w:r w:rsidRPr="00481BD5">
        <w:rPr>
          <w:rFonts w:hint="eastAsia"/>
          <w:color w:val="000000"/>
        </w:rPr>
        <w:br/>
        <w:t>高级： 20—30%（其中正高级：8%）</w:t>
      </w:r>
      <w:r w:rsidRPr="00481BD5">
        <w:rPr>
          <w:rFonts w:hint="eastAsia"/>
          <w:color w:val="000000"/>
        </w:rPr>
        <w:br/>
        <w:t>中级： 26—35%</w:t>
      </w:r>
      <w:r w:rsidRPr="00481BD5">
        <w:rPr>
          <w:rFonts w:hint="eastAsia"/>
          <w:color w:val="000000"/>
        </w:rPr>
        <w:br/>
        <w:t>（二）二级医院</w:t>
      </w:r>
      <w:r w:rsidRPr="00481BD5">
        <w:rPr>
          <w:rFonts w:hint="eastAsia"/>
          <w:color w:val="000000"/>
        </w:rPr>
        <w:br/>
        <w:t>高级： 15—20%（其中正高级：7%）</w:t>
      </w:r>
      <w:r w:rsidRPr="00481BD5">
        <w:rPr>
          <w:rFonts w:hint="eastAsia"/>
          <w:color w:val="000000"/>
        </w:rPr>
        <w:br/>
        <w:t>中级： 21—26%</w:t>
      </w:r>
      <w:r w:rsidRPr="00481BD5">
        <w:rPr>
          <w:rFonts w:hint="eastAsia"/>
          <w:color w:val="000000"/>
        </w:rPr>
        <w:br/>
        <w:t>（三）一级医院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lastRenderedPageBreak/>
        <w:t>高级： 8—13%（其中正高级：4%）</w:t>
      </w:r>
      <w:r w:rsidRPr="00481BD5">
        <w:rPr>
          <w:rFonts w:hint="eastAsia"/>
          <w:color w:val="000000"/>
        </w:rPr>
        <w:br/>
        <w:t>中级： 12—17%</w:t>
      </w:r>
      <w:r w:rsidRPr="00481BD5">
        <w:rPr>
          <w:rFonts w:hint="eastAsia"/>
          <w:color w:val="000000"/>
        </w:rPr>
        <w:br/>
        <w:t>（四）尚未定级的医院</w:t>
      </w:r>
      <w:r w:rsidRPr="00481BD5">
        <w:rPr>
          <w:rFonts w:hint="eastAsia"/>
          <w:color w:val="000000"/>
        </w:rPr>
        <w:br/>
        <w:t>1、100张</w:t>
      </w:r>
      <w:proofErr w:type="gramStart"/>
      <w:r w:rsidRPr="00481BD5">
        <w:rPr>
          <w:rFonts w:hint="eastAsia"/>
          <w:color w:val="000000"/>
        </w:rPr>
        <w:t>床位以上</w:t>
      </w:r>
      <w:proofErr w:type="gramEnd"/>
      <w:r w:rsidRPr="00481BD5">
        <w:rPr>
          <w:rFonts w:hint="eastAsia"/>
          <w:color w:val="000000"/>
        </w:rPr>
        <w:br/>
        <w:t>高级： 13—18%（其中正高级：6%）</w:t>
      </w:r>
      <w:r w:rsidRPr="00481BD5">
        <w:rPr>
          <w:rFonts w:hint="eastAsia"/>
          <w:color w:val="000000"/>
        </w:rPr>
        <w:br/>
        <w:t>中级： 21—26%</w:t>
      </w:r>
      <w:r w:rsidRPr="00481BD5">
        <w:rPr>
          <w:rFonts w:hint="eastAsia"/>
          <w:color w:val="000000"/>
        </w:rPr>
        <w:br/>
        <w:t>2、50—99张床位</w:t>
      </w:r>
      <w:r w:rsidRPr="00481BD5">
        <w:rPr>
          <w:rFonts w:hint="eastAsia"/>
          <w:color w:val="000000"/>
        </w:rPr>
        <w:br/>
        <w:t>高级： 8—13%（其中正高级：4%）</w:t>
      </w:r>
      <w:r w:rsidRPr="00481BD5">
        <w:rPr>
          <w:rFonts w:hint="eastAsia"/>
          <w:color w:val="000000"/>
        </w:rPr>
        <w:br/>
        <w:t>中级： 12—17%</w:t>
      </w:r>
      <w:r w:rsidRPr="00481BD5">
        <w:rPr>
          <w:rFonts w:hint="eastAsia"/>
          <w:color w:val="000000"/>
        </w:rPr>
        <w:br/>
        <w:t>3、不足50张床位</w:t>
      </w:r>
      <w:r w:rsidRPr="00481BD5">
        <w:rPr>
          <w:rFonts w:hint="eastAsia"/>
          <w:color w:val="000000"/>
        </w:rPr>
        <w:br/>
        <w:t>高级： 6—11%（其中正高级：4%）</w:t>
      </w:r>
      <w:r w:rsidRPr="00481BD5">
        <w:rPr>
          <w:rFonts w:hint="eastAsia"/>
          <w:color w:val="000000"/>
        </w:rPr>
        <w:br/>
        <w:t>中级： 12—17%</w:t>
      </w:r>
      <w:r w:rsidRPr="00481BD5">
        <w:rPr>
          <w:rFonts w:hint="eastAsia"/>
          <w:color w:val="000000"/>
        </w:rPr>
        <w:br/>
        <w:t>（五）市药检所</w:t>
      </w:r>
      <w:r w:rsidRPr="00481BD5">
        <w:rPr>
          <w:rFonts w:hint="eastAsia"/>
          <w:color w:val="000000"/>
        </w:rPr>
        <w:br/>
        <w:t>高级： 20—25%（其中正高级：7.5%）</w:t>
      </w:r>
      <w:r w:rsidRPr="00481BD5">
        <w:rPr>
          <w:rFonts w:hint="eastAsia"/>
          <w:color w:val="000000"/>
        </w:rPr>
        <w:br/>
        <w:t>中级： 26—31%</w:t>
      </w:r>
      <w:r w:rsidRPr="00481BD5">
        <w:rPr>
          <w:rFonts w:hint="eastAsia"/>
          <w:color w:val="000000"/>
        </w:rPr>
        <w:br/>
        <w:t>（六）市预防保健、健康教育、慢性病、皮肤及其它医疗卫生单位</w:t>
      </w:r>
      <w:r w:rsidRPr="00481BD5">
        <w:rPr>
          <w:rFonts w:hint="eastAsia"/>
          <w:color w:val="000000"/>
        </w:rPr>
        <w:br/>
        <w:t>高级： 10—15%（其中正高级：1.5%）</w:t>
      </w:r>
      <w:r w:rsidRPr="00481BD5">
        <w:rPr>
          <w:rFonts w:hint="eastAsia"/>
          <w:color w:val="000000"/>
        </w:rPr>
        <w:br/>
        <w:t>中级： 25—30%</w:t>
      </w:r>
      <w:r w:rsidRPr="00481BD5">
        <w:rPr>
          <w:rFonts w:hint="eastAsia"/>
          <w:color w:val="000000"/>
        </w:rPr>
        <w:br/>
        <w:t>（七）区、县级市保健、药检部门</w:t>
      </w:r>
      <w:r w:rsidRPr="00481BD5">
        <w:rPr>
          <w:rFonts w:hint="eastAsia"/>
          <w:color w:val="000000"/>
        </w:rPr>
        <w:br/>
        <w:t>高级：5%（一般不设正高级职务）</w:t>
      </w:r>
      <w:r w:rsidRPr="00481BD5">
        <w:rPr>
          <w:rFonts w:hint="eastAsia"/>
          <w:color w:val="000000"/>
        </w:rPr>
        <w:br/>
        <w:t>中级： 20—25%</w:t>
      </w:r>
      <w:r w:rsidRPr="00481BD5">
        <w:rPr>
          <w:rFonts w:hint="eastAsia"/>
          <w:color w:val="000000"/>
        </w:rPr>
        <w:br/>
        <w:t>（八）疾病预防控制中心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lastRenderedPageBreak/>
        <w:t>1、市级</w:t>
      </w:r>
      <w:r w:rsidRPr="00481BD5">
        <w:rPr>
          <w:rFonts w:hint="eastAsia"/>
          <w:color w:val="000000"/>
        </w:rPr>
        <w:br/>
        <w:t>高级： 20—25%（其中正高级：5%）</w:t>
      </w:r>
      <w:r w:rsidRPr="00481BD5">
        <w:rPr>
          <w:rFonts w:hint="eastAsia"/>
          <w:color w:val="000000"/>
        </w:rPr>
        <w:br/>
        <w:t>中级： 30—35%</w:t>
      </w:r>
      <w:r w:rsidRPr="00481BD5">
        <w:rPr>
          <w:rFonts w:hint="eastAsia"/>
          <w:color w:val="000000"/>
        </w:rPr>
        <w:br/>
        <w:t>2、区、县级市</w:t>
      </w:r>
      <w:r w:rsidRPr="00481BD5">
        <w:rPr>
          <w:rFonts w:hint="eastAsia"/>
          <w:color w:val="000000"/>
        </w:rPr>
        <w:br/>
        <w:t>高级： 8—15%（一般不设正高级职务）</w:t>
      </w:r>
      <w:r w:rsidRPr="00481BD5">
        <w:rPr>
          <w:rFonts w:hint="eastAsia"/>
          <w:color w:val="000000"/>
        </w:rPr>
        <w:br/>
        <w:t>中级： 20—35%</w:t>
      </w:r>
      <w:r w:rsidRPr="00481BD5">
        <w:rPr>
          <w:rFonts w:hint="eastAsia"/>
          <w:color w:val="000000"/>
        </w:rPr>
        <w:br/>
        <w:t>九、新闻出版机构</w:t>
      </w:r>
      <w:r w:rsidRPr="00481BD5">
        <w:rPr>
          <w:rFonts w:hint="eastAsia"/>
          <w:color w:val="000000"/>
        </w:rPr>
        <w:br/>
        <w:t>（一）市一级的新闻出版单位</w:t>
      </w:r>
      <w:r w:rsidRPr="00481BD5">
        <w:rPr>
          <w:rFonts w:hint="eastAsia"/>
          <w:color w:val="000000"/>
        </w:rPr>
        <w:br/>
        <w:t>高级： 10—20%（其中正高级：5%）</w:t>
      </w:r>
      <w:r w:rsidRPr="00481BD5">
        <w:rPr>
          <w:rFonts w:hint="eastAsia"/>
          <w:color w:val="000000"/>
        </w:rPr>
        <w:br/>
        <w:t>中级： 35—40%</w:t>
      </w:r>
      <w:r w:rsidRPr="00481BD5">
        <w:rPr>
          <w:rFonts w:hint="eastAsia"/>
          <w:color w:val="000000"/>
        </w:rPr>
        <w:br/>
        <w:t>（二）区、县级市及相当一级的新闻出版单位</w:t>
      </w:r>
      <w:r w:rsidRPr="00481BD5">
        <w:rPr>
          <w:rFonts w:hint="eastAsia"/>
          <w:color w:val="000000"/>
        </w:rPr>
        <w:br/>
        <w:t>高级： 10—15%（一般不设正高级职务）</w:t>
      </w:r>
      <w:r w:rsidRPr="00481BD5">
        <w:rPr>
          <w:rFonts w:hint="eastAsia"/>
          <w:color w:val="000000"/>
        </w:rPr>
        <w:br/>
        <w:t>中级： 30—35%</w:t>
      </w:r>
      <w:r w:rsidRPr="00481BD5">
        <w:rPr>
          <w:rFonts w:hint="eastAsia"/>
          <w:color w:val="000000"/>
        </w:rPr>
        <w:br/>
        <w:t>（三）其它单位</w:t>
      </w:r>
      <w:r w:rsidRPr="00481BD5">
        <w:rPr>
          <w:rFonts w:hint="eastAsia"/>
          <w:color w:val="000000"/>
        </w:rPr>
        <w:br/>
        <w:t>高级： 5—10%（一般不设正高级职务）</w:t>
      </w:r>
      <w:r w:rsidRPr="00481BD5">
        <w:rPr>
          <w:rFonts w:hint="eastAsia"/>
          <w:color w:val="000000"/>
        </w:rPr>
        <w:br/>
        <w:t>中级： 25—30%</w:t>
      </w:r>
      <w:r w:rsidRPr="00481BD5">
        <w:rPr>
          <w:rFonts w:hint="eastAsia"/>
          <w:color w:val="000000"/>
        </w:rPr>
        <w:br/>
        <w:t>十、运动队、体校</w:t>
      </w:r>
      <w:r w:rsidRPr="00481BD5">
        <w:rPr>
          <w:rFonts w:hint="eastAsia"/>
          <w:color w:val="000000"/>
        </w:rPr>
        <w:br/>
        <w:t>（一）优秀运动队</w:t>
      </w:r>
      <w:r w:rsidRPr="00481BD5">
        <w:rPr>
          <w:rFonts w:hint="eastAsia"/>
          <w:color w:val="000000"/>
        </w:rPr>
        <w:br/>
        <w:t>高级： 25—30%（其中正高级：3%）</w:t>
      </w:r>
      <w:r w:rsidRPr="00481BD5">
        <w:rPr>
          <w:rFonts w:hint="eastAsia"/>
          <w:color w:val="000000"/>
        </w:rPr>
        <w:br/>
        <w:t>中级： 45—50%</w:t>
      </w:r>
      <w:r w:rsidRPr="00481BD5">
        <w:rPr>
          <w:rFonts w:hint="eastAsia"/>
          <w:color w:val="000000"/>
        </w:rPr>
        <w:br/>
        <w:t>（二）各类体育学校、业余体校</w:t>
      </w:r>
      <w:r w:rsidRPr="00481BD5">
        <w:rPr>
          <w:rFonts w:hint="eastAsia"/>
          <w:color w:val="000000"/>
        </w:rPr>
        <w:br/>
        <w:t>高级： 10—15%（一般不设正高级职务）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lastRenderedPageBreak/>
        <w:t>中级： 45—50%</w:t>
      </w:r>
      <w:r w:rsidRPr="00481BD5">
        <w:rPr>
          <w:rFonts w:hint="eastAsia"/>
          <w:color w:val="000000"/>
        </w:rPr>
        <w:br/>
        <w:t>十一、博物馆、文化馆、图书馆、档案馆、文艺团体、以及会计师事务所、审计师事务所、律师事务所等单位</w:t>
      </w:r>
      <w:r w:rsidRPr="00481BD5">
        <w:rPr>
          <w:rFonts w:hint="eastAsia"/>
          <w:color w:val="000000"/>
        </w:rPr>
        <w:br/>
        <w:t>（一）文博、图书、档案</w:t>
      </w:r>
      <w:r w:rsidRPr="00481BD5">
        <w:rPr>
          <w:rFonts w:hint="eastAsia"/>
          <w:color w:val="000000"/>
        </w:rPr>
        <w:br/>
        <w:t>1、市级</w:t>
      </w:r>
      <w:r w:rsidRPr="00481BD5">
        <w:rPr>
          <w:rFonts w:hint="eastAsia"/>
          <w:color w:val="000000"/>
        </w:rPr>
        <w:br/>
        <w:t>高级：10—20%（其中正高级：6%）</w:t>
      </w:r>
      <w:r w:rsidRPr="00481BD5">
        <w:rPr>
          <w:rFonts w:hint="eastAsia"/>
          <w:color w:val="000000"/>
        </w:rPr>
        <w:br/>
        <w:t>中级：30—50%</w:t>
      </w:r>
      <w:r w:rsidRPr="00481BD5">
        <w:rPr>
          <w:rFonts w:hint="eastAsia"/>
          <w:color w:val="000000"/>
        </w:rPr>
        <w:br/>
        <w:t>2、区、县级市</w:t>
      </w:r>
      <w:r w:rsidRPr="00481BD5">
        <w:rPr>
          <w:rFonts w:hint="eastAsia"/>
          <w:color w:val="000000"/>
        </w:rPr>
        <w:br/>
        <w:t>高级：5—10%（一般不设正高级职务）</w:t>
      </w:r>
      <w:r w:rsidRPr="00481BD5">
        <w:rPr>
          <w:rFonts w:hint="eastAsia"/>
          <w:color w:val="000000"/>
        </w:rPr>
        <w:br/>
        <w:t>中级：25—40%</w:t>
      </w:r>
      <w:r w:rsidRPr="00481BD5">
        <w:rPr>
          <w:rFonts w:hint="eastAsia"/>
          <w:color w:val="000000"/>
        </w:rPr>
        <w:br/>
        <w:t>（二）艺术表演团体</w:t>
      </w:r>
      <w:r w:rsidRPr="00481BD5">
        <w:rPr>
          <w:rFonts w:hint="eastAsia"/>
          <w:color w:val="000000"/>
        </w:rPr>
        <w:br/>
        <w:t>1、市级</w:t>
      </w:r>
      <w:r w:rsidRPr="00481BD5">
        <w:rPr>
          <w:rFonts w:hint="eastAsia"/>
          <w:color w:val="000000"/>
        </w:rPr>
        <w:br/>
        <w:t>高级： 20—35%(其中正高级10%)</w:t>
      </w:r>
      <w:r w:rsidRPr="00481BD5">
        <w:rPr>
          <w:rFonts w:hint="eastAsia"/>
          <w:color w:val="000000"/>
        </w:rPr>
        <w:br/>
        <w:t>中级： 40—45%</w:t>
      </w:r>
      <w:r w:rsidRPr="00481BD5">
        <w:rPr>
          <w:rFonts w:hint="eastAsia"/>
          <w:color w:val="000000"/>
        </w:rPr>
        <w:br/>
        <w:t>2、区、县级市</w:t>
      </w:r>
      <w:r w:rsidRPr="00481BD5">
        <w:rPr>
          <w:rStyle w:val="apple-converted-space"/>
          <w:rFonts w:hint="eastAsia"/>
          <w:color w:val="000000"/>
        </w:rPr>
        <w:t> </w:t>
      </w:r>
      <w:r w:rsidRPr="00481BD5">
        <w:rPr>
          <w:rFonts w:hint="eastAsia"/>
          <w:color w:val="000000"/>
        </w:rPr>
        <w:br/>
        <w:t>高级： 5—10%</w:t>
      </w:r>
      <w:r w:rsidRPr="00481BD5">
        <w:rPr>
          <w:rFonts w:hint="eastAsia"/>
          <w:color w:val="000000"/>
        </w:rPr>
        <w:br/>
        <w:t>中级： 30—45%</w:t>
      </w:r>
      <w:r w:rsidRPr="00481BD5">
        <w:rPr>
          <w:rFonts w:hint="eastAsia"/>
          <w:color w:val="000000"/>
        </w:rPr>
        <w:br/>
        <w:t>（三）美术</w:t>
      </w:r>
      <w:r w:rsidRPr="00481BD5">
        <w:rPr>
          <w:rFonts w:hint="eastAsia"/>
          <w:color w:val="000000"/>
        </w:rPr>
        <w:br/>
        <w:t>高级： 25—30%</w:t>
      </w:r>
      <w:r w:rsidRPr="00481BD5">
        <w:rPr>
          <w:rFonts w:hint="eastAsia"/>
          <w:color w:val="000000"/>
        </w:rPr>
        <w:br/>
        <w:t>中级： 30—35%</w:t>
      </w:r>
      <w:r w:rsidRPr="00481BD5">
        <w:rPr>
          <w:rFonts w:hint="eastAsia"/>
          <w:color w:val="000000"/>
        </w:rPr>
        <w:br/>
        <w:t>（四）律师事务所、公证处</w:t>
      </w:r>
      <w:r w:rsidRPr="00481BD5">
        <w:rPr>
          <w:rFonts w:hint="eastAsia"/>
          <w:color w:val="000000"/>
        </w:rPr>
        <w:br/>
        <w:t>1、市级</w:t>
      </w:r>
      <w:r w:rsidRPr="00481BD5">
        <w:rPr>
          <w:rFonts w:hint="eastAsia"/>
          <w:color w:val="000000"/>
        </w:rPr>
        <w:br/>
      </w:r>
      <w:r w:rsidRPr="00481BD5">
        <w:rPr>
          <w:rFonts w:hint="eastAsia"/>
          <w:color w:val="000000"/>
        </w:rPr>
        <w:lastRenderedPageBreak/>
        <w:t>高级： 25—35%(其中正高级控制在13%)</w:t>
      </w:r>
      <w:r w:rsidRPr="00481BD5">
        <w:rPr>
          <w:rFonts w:hint="eastAsia"/>
          <w:color w:val="000000"/>
        </w:rPr>
        <w:br/>
        <w:t>中级： 40—55%</w:t>
      </w:r>
      <w:r w:rsidRPr="00481BD5">
        <w:rPr>
          <w:rFonts w:hint="eastAsia"/>
          <w:color w:val="000000"/>
        </w:rPr>
        <w:br/>
        <w:t>2、区、县级市</w:t>
      </w:r>
      <w:r w:rsidRPr="00481BD5">
        <w:rPr>
          <w:rFonts w:hint="eastAsia"/>
          <w:color w:val="000000"/>
        </w:rPr>
        <w:br/>
        <w:t>高级： 25—30%</w:t>
      </w:r>
      <w:r w:rsidRPr="00481BD5">
        <w:rPr>
          <w:rFonts w:hint="eastAsia"/>
          <w:color w:val="000000"/>
        </w:rPr>
        <w:br/>
        <w:t>中级： 40—50%</w:t>
      </w:r>
      <w:r w:rsidRPr="00481BD5">
        <w:rPr>
          <w:rFonts w:hint="eastAsia"/>
          <w:color w:val="000000"/>
        </w:rPr>
        <w:br/>
        <w:t>（五）会计师事务所、审计师事务所</w:t>
      </w:r>
      <w:r w:rsidRPr="00481BD5">
        <w:rPr>
          <w:rFonts w:hint="eastAsia"/>
          <w:color w:val="000000"/>
        </w:rPr>
        <w:br/>
        <w:t>1、市级</w:t>
      </w:r>
      <w:r w:rsidRPr="00481BD5">
        <w:rPr>
          <w:rFonts w:hint="eastAsia"/>
          <w:color w:val="000000"/>
        </w:rPr>
        <w:br/>
        <w:t>高级： 25—35%</w:t>
      </w:r>
      <w:r w:rsidRPr="00481BD5">
        <w:rPr>
          <w:rFonts w:hint="eastAsia"/>
          <w:color w:val="000000"/>
        </w:rPr>
        <w:br/>
        <w:t>中级： 40—50%</w:t>
      </w:r>
      <w:r w:rsidRPr="00481BD5">
        <w:rPr>
          <w:rFonts w:hint="eastAsia"/>
          <w:color w:val="000000"/>
        </w:rPr>
        <w:br/>
        <w:t>2、区、县级市</w:t>
      </w:r>
      <w:r w:rsidRPr="00481BD5">
        <w:rPr>
          <w:rFonts w:hint="eastAsia"/>
          <w:color w:val="000000"/>
        </w:rPr>
        <w:br/>
        <w:t>高级： 15—20%</w:t>
      </w:r>
      <w:r w:rsidRPr="00481BD5">
        <w:rPr>
          <w:rFonts w:hint="eastAsia"/>
          <w:color w:val="000000"/>
        </w:rPr>
        <w:br/>
        <w:t>中级： 40—50%</w:t>
      </w:r>
    </w:p>
    <w:bookmarkEnd w:id="0"/>
    <w:p w:rsidR="002641D1" w:rsidRPr="00481BD5" w:rsidRDefault="002641D1" w:rsidP="002641D1">
      <w:pPr>
        <w:pStyle w:val="a5"/>
        <w:spacing w:before="0" w:beforeAutospacing="0" w:after="0" w:afterAutospacing="0" w:line="480" w:lineRule="auto"/>
        <w:rPr>
          <w:color w:val="000000"/>
        </w:rPr>
      </w:pPr>
      <w:r w:rsidRPr="00481BD5">
        <w:rPr>
          <w:rFonts w:hint="eastAsia"/>
          <w:color w:val="000000"/>
        </w:rPr>
        <w:t> </w:t>
      </w:r>
    </w:p>
    <w:p w:rsidR="008010B4" w:rsidRPr="002641D1" w:rsidRDefault="008010B4"/>
    <w:sectPr w:rsidR="008010B4" w:rsidRPr="0026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58" w:rsidRDefault="00FC7158" w:rsidP="002641D1">
      <w:r>
        <w:separator/>
      </w:r>
    </w:p>
  </w:endnote>
  <w:endnote w:type="continuationSeparator" w:id="0">
    <w:p w:rsidR="00FC7158" w:rsidRDefault="00FC7158" w:rsidP="002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58" w:rsidRDefault="00FC7158" w:rsidP="002641D1">
      <w:r>
        <w:separator/>
      </w:r>
    </w:p>
  </w:footnote>
  <w:footnote w:type="continuationSeparator" w:id="0">
    <w:p w:rsidR="00FC7158" w:rsidRDefault="00FC7158" w:rsidP="0026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B4"/>
    <w:rsid w:val="00037098"/>
    <w:rsid w:val="00061BEA"/>
    <w:rsid w:val="000A5161"/>
    <w:rsid w:val="000A6C62"/>
    <w:rsid w:val="000C3F07"/>
    <w:rsid w:val="000E18A9"/>
    <w:rsid w:val="001543C8"/>
    <w:rsid w:val="00172802"/>
    <w:rsid w:val="0017576F"/>
    <w:rsid w:val="00176CF9"/>
    <w:rsid w:val="001921EB"/>
    <w:rsid w:val="001A4A4D"/>
    <w:rsid w:val="001A5302"/>
    <w:rsid w:val="001B2A1E"/>
    <w:rsid w:val="001D216D"/>
    <w:rsid w:val="002641D1"/>
    <w:rsid w:val="002827B4"/>
    <w:rsid w:val="00297F70"/>
    <w:rsid w:val="00307CAB"/>
    <w:rsid w:val="003552C4"/>
    <w:rsid w:val="00375B8F"/>
    <w:rsid w:val="00423E47"/>
    <w:rsid w:val="004D7795"/>
    <w:rsid w:val="005113E9"/>
    <w:rsid w:val="00563541"/>
    <w:rsid w:val="005801DB"/>
    <w:rsid w:val="005B7481"/>
    <w:rsid w:val="005C544C"/>
    <w:rsid w:val="00640B49"/>
    <w:rsid w:val="00643802"/>
    <w:rsid w:val="006A24CA"/>
    <w:rsid w:val="006A4CB7"/>
    <w:rsid w:val="007311B5"/>
    <w:rsid w:val="00762CAB"/>
    <w:rsid w:val="00790673"/>
    <w:rsid w:val="007D695A"/>
    <w:rsid w:val="008010B4"/>
    <w:rsid w:val="0083662C"/>
    <w:rsid w:val="008564ED"/>
    <w:rsid w:val="00895DC6"/>
    <w:rsid w:val="008F760D"/>
    <w:rsid w:val="0092214A"/>
    <w:rsid w:val="00924865"/>
    <w:rsid w:val="0098142F"/>
    <w:rsid w:val="009912AC"/>
    <w:rsid w:val="00997028"/>
    <w:rsid w:val="009A2BAE"/>
    <w:rsid w:val="009D770F"/>
    <w:rsid w:val="00A33983"/>
    <w:rsid w:val="00A530B4"/>
    <w:rsid w:val="00B11EBA"/>
    <w:rsid w:val="00B27925"/>
    <w:rsid w:val="00B811FF"/>
    <w:rsid w:val="00BC195A"/>
    <w:rsid w:val="00C176DE"/>
    <w:rsid w:val="00C26638"/>
    <w:rsid w:val="00C35AE0"/>
    <w:rsid w:val="00C704A2"/>
    <w:rsid w:val="00C8110E"/>
    <w:rsid w:val="00CB13AE"/>
    <w:rsid w:val="00CC40FC"/>
    <w:rsid w:val="00CC4ABD"/>
    <w:rsid w:val="00D20F5B"/>
    <w:rsid w:val="00D27F53"/>
    <w:rsid w:val="00D44779"/>
    <w:rsid w:val="00D45378"/>
    <w:rsid w:val="00DB055D"/>
    <w:rsid w:val="00E1453F"/>
    <w:rsid w:val="00E8378B"/>
    <w:rsid w:val="00EA63B4"/>
    <w:rsid w:val="00EB19B3"/>
    <w:rsid w:val="00EB5944"/>
    <w:rsid w:val="00EF6DF4"/>
    <w:rsid w:val="00F076D6"/>
    <w:rsid w:val="00F26708"/>
    <w:rsid w:val="00F40387"/>
    <w:rsid w:val="00FB0DD6"/>
    <w:rsid w:val="00FC31B8"/>
    <w:rsid w:val="00F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1D1"/>
    <w:rPr>
      <w:sz w:val="18"/>
      <w:szCs w:val="18"/>
    </w:rPr>
  </w:style>
  <w:style w:type="paragraph" w:styleId="a5">
    <w:name w:val="Normal (Web)"/>
    <w:basedOn w:val="a"/>
    <w:uiPriority w:val="99"/>
    <w:rsid w:val="002641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4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1D1"/>
    <w:rPr>
      <w:sz w:val="18"/>
      <w:szCs w:val="18"/>
    </w:rPr>
  </w:style>
  <w:style w:type="paragraph" w:styleId="a5">
    <w:name w:val="Normal (Web)"/>
    <w:basedOn w:val="a"/>
    <w:uiPriority w:val="99"/>
    <w:rsid w:val="002641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2017-05-11T07:17:00Z</dcterms:created>
  <dcterms:modified xsi:type="dcterms:W3CDTF">2017-05-11T07:18:00Z</dcterms:modified>
</cp:coreProperties>
</file>