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55" w:rsidRDefault="00976B7B">
      <w:pPr>
        <w:widowControl/>
        <w:shd w:val="clear" w:color="auto" w:fill="FFFFFF"/>
        <w:spacing w:line="56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广州市住房和城乡建设</w:t>
      </w:r>
      <w:r>
        <w:rPr>
          <w:rFonts w:ascii="黑体" w:eastAsia="黑体" w:hAnsi="黑体" w:hint="eastAsia"/>
          <w:bCs/>
          <w:sz w:val="44"/>
          <w:szCs w:val="44"/>
        </w:rPr>
        <w:t>局</w:t>
      </w:r>
      <w:r>
        <w:rPr>
          <w:rFonts w:ascii="方正小标宋简体" w:eastAsia="方正小标宋简体" w:hAnsi="Times New Roman" w:hint="eastAsia"/>
          <w:bCs/>
          <w:sz w:val="44"/>
          <w:szCs w:val="44"/>
        </w:rPr>
        <w:t>关于印发广州市预拌砂浆企业诚信综合评价办法的通知</w:t>
      </w:r>
    </w:p>
    <w:p w:rsidR="00906555" w:rsidRDefault="00906555">
      <w:pPr>
        <w:snapToGrid w:val="0"/>
        <w:spacing w:line="560" w:lineRule="exact"/>
        <w:jc w:val="center"/>
        <w:rPr>
          <w:rFonts w:ascii="楷体_GB2312" w:eastAsia="楷体_GB2312" w:hAnsi="楷体" w:cs="宋体"/>
          <w:bCs/>
          <w:color w:val="333333"/>
          <w:kern w:val="0"/>
          <w:sz w:val="32"/>
          <w:szCs w:val="32"/>
        </w:rPr>
      </w:pPr>
    </w:p>
    <w:p w:rsidR="00906555" w:rsidRDefault="00906555">
      <w:pPr>
        <w:widowControl/>
        <w:shd w:val="clear" w:color="auto" w:fill="FFFFFF"/>
        <w:spacing w:line="560" w:lineRule="exact"/>
        <w:rPr>
          <w:rFonts w:ascii="仿宋_GB2312" w:eastAsia="仿宋_GB2312" w:hAnsi="宋体" w:cs="宋体"/>
          <w:kern w:val="0"/>
          <w:sz w:val="32"/>
          <w:szCs w:val="32"/>
        </w:rPr>
      </w:pPr>
    </w:p>
    <w:p w:rsidR="00906555" w:rsidRDefault="00976B7B">
      <w:pPr>
        <w:widowControl/>
        <w:shd w:val="clear" w:color="auto" w:fill="FFFFFF"/>
        <w:spacing w:line="560" w:lineRule="exact"/>
        <w:rPr>
          <w:rFonts w:ascii="仿宋_GB2312" w:eastAsia="仿宋_GB2312" w:hAnsi="Times New Roman"/>
          <w:kern w:val="0"/>
          <w:sz w:val="32"/>
          <w:szCs w:val="32"/>
        </w:rPr>
      </w:pPr>
      <w:r>
        <w:rPr>
          <w:rFonts w:ascii="仿宋_GB2312" w:eastAsia="仿宋_GB2312" w:hAnsi="宋体" w:hint="eastAsia"/>
          <w:kern w:val="0"/>
          <w:sz w:val="32"/>
          <w:szCs w:val="32"/>
        </w:rPr>
        <w:t>各有关单位：</w:t>
      </w:r>
    </w:p>
    <w:p w:rsidR="00906555" w:rsidRDefault="00976B7B">
      <w:pPr>
        <w:widowControl/>
        <w:shd w:val="clear" w:color="auto" w:fill="FFFFFF"/>
        <w:spacing w:line="560" w:lineRule="exact"/>
        <w:ind w:firstLineChars="200" w:firstLine="640"/>
        <w:jc w:val="left"/>
        <w:rPr>
          <w:rFonts w:ascii="仿宋_GB2312" w:eastAsia="仿宋_GB2312" w:hAnsi="Times New Roman"/>
          <w:kern w:val="0"/>
          <w:sz w:val="32"/>
          <w:szCs w:val="32"/>
        </w:rPr>
      </w:pPr>
      <w:r>
        <w:rPr>
          <w:rFonts w:ascii="仿宋_GB2312" w:eastAsia="仿宋_GB2312" w:hAnsi="宋体" w:hint="eastAsia"/>
          <w:kern w:val="0"/>
          <w:sz w:val="32"/>
          <w:szCs w:val="32"/>
        </w:rPr>
        <w:t>为全面提高预拌砂浆企业综合素质，促进预拌砂浆行业持续稳定健康发展，结合广州市实际，我局制定了《广州市预拌砂浆企业诚信综合评价办法》，现予以印发实施，请遵照执行。</w:t>
      </w:r>
    </w:p>
    <w:p w:rsidR="00906555" w:rsidRDefault="00976B7B">
      <w:pPr>
        <w:widowControl/>
        <w:shd w:val="clear" w:color="auto" w:fill="FFFFFF"/>
        <w:spacing w:line="560" w:lineRule="exact"/>
        <w:ind w:firstLine="360"/>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hd w:val="clear" w:color="auto" w:fill="FFFFFF"/>
        <w:spacing w:line="560" w:lineRule="exact"/>
        <w:ind w:firstLine="360"/>
        <w:jc w:val="right"/>
        <w:rPr>
          <w:rFonts w:ascii="仿宋_GB2312" w:eastAsia="仿宋_GB2312" w:hAnsi="宋体"/>
          <w:kern w:val="0"/>
          <w:sz w:val="32"/>
          <w:szCs w:val="32"/>
        </w:rPr>
      </w:pPr>
      <w:r>
        <w:rPr>
          <w:rFonts w:ascii="仿宋_GB2312" w:eastAsia="仿宋_GB2312" w:hAnsi="宋体" w:hint="eastAsia"/>
          <w:kern w:val="0"/>
          <w:sz w:val="32"/>
          <w:szCs w:val="32"/>
        </w:rPr>
        <w:t>广州市住房和城乡建设局</w:t>
      </w:r>
    </w:p>
    <w:p w:rsidR="00906555" w:rsidRDefault="00976B7B">
      <w:pPr>
        <w:widowControl/>
        <w:shd w:val="clear" w:color="auto" w:fill="FFFFFF"/>
        <w:spacing w:line="560" w:lineRule="exact"/>
        <w:ind w:firstLine="360"/>
        <w:jc w:val="center"/>
        <w:rPr>
          <w:rFonts w:ascii="仿宋_GB2312" w:eastAsia="仿宋_GB2312" w:hAnsi="宋体"/>
          <w:kern w:val="0"/>
          <w:sz w:val="32"/>
          <w:szCs w:val="32"/>
        </w:rPr>
      </w:pPr>
      <w:r>
        <w:rPr>
          <w:rFonts w:ascii="仿宋_GB2312" w:eastAsia="仿宋_GB2312" w:hAnsi="宋体" w:hint="eastAsia"/>
          <w:kern w:val="0"/>
          <w:sz w:val="32"/>
          <w:szCs w:val="32"/>
        </w:rPr>
        <w:t xml:space="preserve">                           2020年3月2日</w:t>
      </w:r>
      <w:bookmarkStart w:id="0" w:name="_GoBack"/>
      <w:bookmarkEnd w:id="0"/>
    </w:p>
    <w:p w:rsidR="00906555" w:rsidRDefault="00906555">
      <w:pPr>
        <w:widowControl/>
        <w:shd w:val="clear" w:color="auto" w:fill="FFFFFF"/>
        <w:spacing w:line="560" w:lineRule="exact"/>
        <w:ind w:firstLine="360"/>
        <w:jc w:val="right"/>
        <w:rPr>
          <w:rFonts w:ascii="仿宋_GB2312" w:eastAsia="仿宋_GB2312" w:hAnsi="宋体"/>
          <w:kern w:val="0"/>
          <w:sz w:val="32"/>
          <w:szCs w:val="32"/>
        </w:rPr>
      </w:pPr>
    </w:p>
    <w:p w:rsidR="00906555" w:rsidRDefault="00976B7B">
      <w:pPr>
        <w:widowControl/>
        <w:shd w:val="clear" w:color="auto" w:fill="FFFFFF"/>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Times New Roman"/>
          <w:kern w:val="0"/>
          <w:sz w:val="32"/>
          <w:szCs w:val="32"/>
        </w:rPr>
        <w:br w:type="page"/>
      </w:r>
    </w:p>
    <w:p w:rsidR="00906555" w:rsidRDefault="00976B7B">
      <w:pPr>
        <w:widowControl/>
        <w:shd w:val="clear" w:color="auto" w:fill="FFFFFF"/>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lastRenderedPageBreak/>
        <w:t>广州市预拌砂浆企业诚信综合评价办法</w:t>
      </w:r>
    </w:p>
    <w:p w:rsidR="00906555" w:rsidRDefault="00976B7B">
      <w:pPr>
        <w:widowControl/>
        <w:shd w:val="clear" w:color="auto" w:fill="FFFFFF"/>
        <w:spacing w:line="560" w:lineRule="exact"/>
        <w:ind w:firstLine="480"/>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一、评价范围</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凡在广州市行政区域内供应预拌砂浆并依法取得《广州市普通预拌砂浆企业备案证》或《广州市特种干混砂浆企业备案证》的预拌砂浆企业均应纳入诚信评价的范围。</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二、评价主体</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各级建设行政主管部门、散装水泥管理机构、建设工程质量监督机构，有关预拌砂浆使用单位。</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三、评价组成及评价办法</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 </w:t>
      </w:r>
      <w:r>
        <w:rPr>
          <w:rFonts w:ascii="仿宋_GB2312" w:eastAsia="仿宋_GB2312" w:hAnsi="宋体" w:hint="eastAsia"/>
          <w:kern w:val="0"/>
          <w:sz w:val="32"/>
          <w:szCs w:val="32"/>
        </w:rPr>
        <w:t>预拌砂浆企业诚信评分由基准分与管理评价分相加得出。企业诚信评分采用百分制，超过100分的计100分，不足0分的计0分。</w:t>
      </w:r>
    </w:p>
    <w:p w:rsidR="00906555" w:rsidRDefault="00976B7B">
      <w:pPr>
        <w:widowControl/>
        <w:shd w:val="clear" w:color="auto" w:fill="FFFFFF"/>
        <w:spacing w:line="560" w:lineRule="exact"/>
        <w:ind w:left="1720" w:hanging="1080"/>
        <w:rPr>
          <w:rFonts w:ascii="仿宋_GB2312" w:eastAsia="仿宋_GB2312" w:hAnsi="Times New Roman"/>
          <w:kern w:val="0"/>
          <w:sz w:val="32"/>
          <w:szCs w:val="32"/>
        </w:rPr>
      </w:pPr>
      <w:r>
        <w:rPr>
          <w:rFonts w:ascii="仿宋_GB2312" w:eastAsia="仿宋_GB2312" w:hAnsi="宋体" w:hint="eastAsia"/>
          <w:kern w:val="0"/>
          <w:sz w:val="32"/>
          <w:szCs w:val="32"/>
        </w:rPr>
        <w:t>（一）基准分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基准评价分数由质量得分与市场供应得分、使用单位评价得分三部分构成。其中质量得分由各级建设行政主管部门、散装水泥管理机构、建设工程质量监督机构的质量抽检统计得出；市场供应得分由建设单位办理预拌砂浆使用报告时统计排名得出；使用单位评价分由各预拌砂浆使用单位对预拌砂浆企业的评分加权平均得出。三部分得分分别为60分、20分、20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基准</w:t>
      </w:r>
      <w:proofErr w:type="gramStart"/>
      <w:r>
        <w:rPr>
          <w:rFonts w:ascii="仿宋_GB2312" w:eastAsia="仿宋_GB2312" w:hAnsi="宋体" w:hint="eastAsia"/>
          <w:kern w:val="0"/>
          <w:sz w:val="32"/>
          <w:szCs w:val="32"/>
        </w:rPr>
        <w:t>分每天</w:t>
      </w:r>
      <w:proofErr w:type="gramEnd"/>
      <w:r>
        <w:rPr>
          <w:rFonts w:ascii="仿宋_GB2312" w:eastAsia="仿宋_GB2312" w:hAnsi="宋体" w:hint="eastAsia"/>
          <w:kern w:val="0"/>
          <w:sz w:val="32"/>
          <w:szCs w:val="32"/>
        </w:rPr>
        <w:t>由预拌砂浆诚信评价系统（以下简称“诚信评价系统”）自动计算得出，并通过系统自动对外发布，首</w:t>
      </w:r>
      <w:r>
        <w:rPr>
          <w:rFonts w:ascii="仿宋_GB2312" w:eastAsia="仿宋_GB2312" w:hAnsi="宋体" w:hint="eastAsia"/>
          <w:kern w:val="0"/>
          <w:sz w:val="32"/>
          <w:szCs w:val="32"/>
        </w:rPr>
        <w:lastRenderedPageBreak/>
        <w:t>次进入评价系统的企业</w:t>
      </w:r>
      <w:proofErr w:type="gramStart"/>
      <w:r>
        <w:rPr>
          <w:rFonts w:ascii="仿宋_GB2312" w:eastAsia="仿宋_GB2312" w:hAnsi="宋体" w:hint="eastAsia"/>
          <w:kern w:val="0"/>
          <w:sz w:val="32"/>
          <w:szCs w:val="32"/>
        </w:rPr>
        <w:t>基准分记65分</w:t>
      </w:r>
      <w:proofErr w:type="gramEnd"/>
      <w:r>
        <w:rPr>
          <w:rFonts w:ascii="仿宋_GB2312" w:eastAsia="仿宋_GB2312" w:hAnsi="宋体" w:hint="eastAsia"/>
          <w:kern w:val="0"/>
          <w:sz w:val="32"/>
          <w:szCs w:val="32"/>
        </w:rPr>
        <w:t>，进入系统后按实际评价得分。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1.质量得分评价</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质量得分由各级建设行政主管部门、散装水泥管理机构、建设工程质量监督机构的预拌砂浆质量抽检结果得出，市散装水泥管理机构每年应组织不少于2次对预拌砂浆的质量抽检，市工程质量监督机构每年应组织不少于1次建设工程项目预拌砂浆的质量抽检。产品抽检无不合格的，质量得分计60分；监督抽检每出现一个样品不合格的，扣20分，扣分后不足0分的计0分，评分有效期半年。质量得分情况由诚信评价系统从“广州市建设工程质量检测监管平台”中获取预拌砂浆监督抽检结果自动计算得出。</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2.市场供应得分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以建设单位办理预拌砂浆使用报告所提供的数据为准，结合预拌砂浆生产企业每月生产数据，统计全市各预拌砂浆企业的预拌砂浆供应量，并根据供应量由高到低进行排名。统计排名由广州市预拌砂浆生产监管系统自动完成，各企业得分由系统每月自动计算得出。排名在1-5名的，计20分；5-10名的，计16分；10-15名的，计12分；16-20名的，计8分；20名以后的，计4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3.使用单位评价得分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由预拌砂浆使用单位根据《预拌砂浆使用单位评价表》（附件1）对预拌砂浆企业进行评价。使用单位在预拌砂浆供货期内，对供应本工程的预拌砂浆企业进行评价，具体评</w:t>
      </w:r>
      <w:r>
        <w:rPr>
          <w:rFonts w:ascii="仿宋_GB2312" w:eastAsia="仿宋_GB2312" w:hAnsi="宋体" w:hint="eastAsia"/>
          <w:kern w:val="0"/>
          <w:sz w:val="32"/>
          <w:szCs w:val="32"/>
        </w:rPr>
        <w:lastRenderedPageBreak/>
        <w:t>价工作由预拌砂浆使用单位负责，每季度第三个月25日前（当天为节假日的，推迟至节假日结束后第1个工作日）完成评价。使用单位评价得分使用扣分制，按《预拌砂浆企业诚信评价表》进行评分，评分有效期为一个季度。若存在多个使用单位的，按加权平均分计算。若预拌砂浆使用单位存在现场搅拌砂浆等违规行为，经主管部门查处后拒不整改的，其评价无效。</w:t>
      </w:r>
    </w:p>
    <w:p w:rsidR="00906555" w:rsidRDefault="00976B7B">
      <w:pPr>
        <w:widowControl/>
        <w:shd w:val="clear" w:color="auto" w:fill="FFFFFF"/>
        <w:spacing w:line="560" w:lineRule="exact"/>
        <w:ind w:firstLine="480"/>
        <w:rPr>
          <w:rFonts w:ascii="仿宋_GB2312" w:eastAsia="仿宋_GB2312" w:hAnsi="Times New Roman"/>
          <w:kern w:val="0"/>
          <w:sz w:val="32"/>
          <w:szCs w:val="32"/>
        </w:rPr>
      </w:pPr>
      <w:r>
        <w:rPr>
          <w:rFonts w:ascii="仿宋_GB2312" w:eastAsia="仿宋_GB2312" w:hAnsi="宋体" w:hint="eastAsia"/>
          <w:kern w:val="0"/>
          <w:sz w:val="32"/>
          <w:szCs w:val="32"/>
        </w:rPr>
        <w:t>（二）管理评价分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管理评价</w:t>
      </w:r>
      <w:proofErr w:type="gramStart"/>
      <w:r>
        <w:rPr>
          <w:rFonts w:ascii="仿宋_GB2312" w:eastAsia="仿宋_GB2312" w:hAnsi="宋体" w:hint="eastAsia"/>
          <w:kern w:val="0"/>
          <w:sz w:val="32"/>
          <w:szCs w:val="32"/>
        </w:rPr>
        <w:t>分评价</w:t>
      </w:r>
      <w:proofErr w:type="gramEnd"/>
      <w:r>
        <w:rPr>
          <w:rFonts w:ascii="仿宋_GB2312" w:eastAsia="仿宋_GB2312" w:hAnsi="宋体" w:hint="eastAsia"/>
          <w:kern w:val="0"/>
          <w:sz w:val="32"/>
          <w:szCs w:val="32"/>
        </w:rPr>
        <w:t>的内容主要包括人员和制度、生产管理、试验室管理、原材料管理、出厂质量管理等，由各级建设行政主管部门、散装水泥管理机构在日常管理过程中，按照《预拌砂浆企业管理评价表》（附件2）评价打分，评分有效期为半年。</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各级散装水泥管理机构应对本辖区内预拌砂浆企业实施随机抽查。检查发现违法违规行为除实施管理评价外，还应依法责令整改并实施行政处罚。</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四、评价管理</w:t>
      </w:r>
    </w:p>
    <w:p w:rsidR="00906555" w:rsidRDefault="00976B7B">
      <w:pPr>
        <w:widowControl/>
        <w:shd w:val="clear" w:color="auto" w:fill="FFFFFF"/>
        <w:spacing w:line="560" w:lineRule="exact"/>
        <w:ind w:firstLine="646"/>
        <w:rPr>
          <w:rFonts w:ascii="仿宋_GB2312" w:eastAsia="仿宋_GB2312" w:hAnsi="宋体"/>
          <w:kern w:val="0"/>
          <w:sz w:val="32"/>
          <w:szCs w:val="32"/>
        </w:rPr>
      </w:pPr>
      <w:r>
        <w:rPr>
          <w:rFonts w:ascii="仿宋_GB2312" w:eastAsia="仿宋_GB2312" w:hAnsi="宋体" w:hint="eastAsia"/>
          <w:kern w:val="0"/>
          <w:sz w:val="32"/>
          <w:szCs w:val="32"/>
        </w:rPr>
        <w:t>（一）被评价单位对评价结果有异议的，应在评价结果</w:t>
      </w:r>
      <w:proofErr w:type="gramStart"/>
      <w:r>
        <w:rPr>
          <w:rFonts w:ascii="仿宋_GB2312" w:eastAsia="仿宋_GB2312" w:hAnsi="宋体" w:hint="eastAsia"/>
          <w:kern w:val="0"/>
          <w:sz w:val="32"/>
          <w:szCs w:val="32"/>
        </w:rPr>
        <w:t>作出</w:t>
      </w:r>
      <w:proofErr w:type="gramEnd"/>
      <w:r>
        <w:rPr>
          <w:rFonts w:ascii="仿宋_GB2312" w:eastAsia="仿宋_GB2312" w:hAnsi="宋体" w:hint="eastAsia"/>
          <w:kern w:val="0"/>
          <w:sz w:val="32"/>
          <w:szCs w:val="32"/>
        </w:rPr>
        <w:t>后5日内向</w:t>
      </w:r>
      <w:proofErr w:type="gramStart"/>
      <w:r>
        <w:rPr>
          <w:rFonts w:ascii="仿宋_GB2312" w:eastAsia="仿宋_GB2312" w:hAnsi="宋体" w:hint="eastAsia"/>
          <w:kern w:val="0"/>
          <w:sz w:val="32"/>
          <w:szCs w:val="32"/>
        </w:rPr>
        <w:t>作出</w:t>
      </w:r>
      <w:proofErr w:type="gramEnd"/>
      <w:r>
        <w:rPr>
          <w:rFonts w:ascii="仿宋_GB2312" w:eastAsia="仿宋_GB2312" w:hAnsi="宋体" w:hint="eastAsia"/>
          <w:kern w:val="0"/>
          <w:sz w:val="32"/>
          <w:szCs w:val="32"/>
        </w:rPr>
        <w:t>评价的主体单位申诉，评价主体单位应当在收到申诉后10日内检查有关评价情况并答复，如有错误，应当修正。申诉人对评价主体单位的答复不服的，应在收到答复后10日内向市住房和城乡建设局申诉，市住房和城乡建设局在收到申诉30日内调查并答复申诉人，发现确有错误的，要求评价主体单位纠正。</w:t>
      </w:r>
    </w:p>
    <w:p w:rsidR="00906555" w:rsidRDefault="00976B7B">
      <w:pPr>
        <w:widowControl/>
        <w:spacing w:line="560" w:lineRule="exact"/>
        <w:jc w:val="left"/>
        <w:rPr>
          <w:rFonts w:ascii="楷体_GB2312" w:eastAsia="楷体_GB2312" w:hAnsi="宋体"/>
          <w:sz w:val="24"/>
        </w:rPr>
      </w:pPr>
      <w:r>
        <w:rPr>
          <w:rFonts w:ascii="楷体_GB2312" w:eastAsia="楷体_GB2312" w:cs="宋体" w:hint="eastAsia"/>
          <w:kern w:val="0"/>
          <w:sz w:val="24"/>
        </w:rPr>
        <w:lastRenderedPageBreak/>
        <w:t xml:space="preserve">  </w:t>
      </w:r>
    </w:p>
    <w:p w:rsidR="00906555" w:rsidRDefault="00976B7B">
      <w:pPr>
        <w:widowControl/>
        <w:shd w:val="clear" w:color="auto" w:fill="FFFFFF"/>
        <w:spacing w:line="560" w:lineRule="exact"/>
        <w:ind w:firstLine="646"/>
        <w:rPr>
          <w:rFonts w:cs="宋体"/>
          <w:sz w:val="24"/>
        </w:rPr>
      </w:pPr>
      <w:r>
        <w:rPr>
          <w:rFonts w:ascii="仿宋_GB2312" w:eastAsia="仿宋_GB2312" w:hAnsi="宋体" w:hint="eastAsia"/>
          <w:kern w:val="0"/>
          <w:sz w:val="32"/>
          <w:szCs w:val="32"/>
        </w:rPr>
        <w:t>（二）有关行政管理部门（承担公共管理职能的组织等）及其工作人员违反本规定，不依法履行职责的，由有权机关责令改正，对负有责任的领导人员和直接责任人员依法给予处分；构成犯罪的，依法追究刑事责任。</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五、评价应用</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一）建设单位按规定已建立预拌砂浆预选承包商和履约评价制度、采用集中资格预审方式确定合格投标人的，应当在集中资格预审或确定正式投标人时审查投标申请人的诚信综合评价情况和本单位对其履约评价情况。通过符合性审查的企业超过集中资格预审公告载明的预选承包商目标数的，应将投标申请人的诚信综合评价分数和本单位对其履约评价分数相加计算出排名，由高至</w:t>
      </w:r>
      <w:proofErr w:type="gramStart"/>
      <w:r>
        <w:rPr>
          <w:rFonts w:ascii="仿宋_GB2312" w:eastAsia="仿宋_GB2312" w:hAnsi="宋体" w:hint="eastAsia"/>
          <w:kern w:val="0"/>
          <w:sz w:val="32"/>
          <w:szCs w:val="32"/>
        </w:rPr>
        <w:t>低确定</w:t>
      </w:r>
      <w:proofErr w:type="gramEnd"/>
      <w:r>
        <w:rPr>
          <w:rFonts w:ascii="仿宋_GB2312" w:eastAsia="仿宋_GB2312" w:hAnsi="宋体" w:hint="eastAsia"/>
          <w:kern w:val="0"/>
          <w:sz w:val="32"/>
          <w:szCs w:val="32"/>
        </w:rPr>
        <w:t>预选承包商，直至达到预选承包商目标数。预拌砂浆诚信评价排名在40%以后的，不能成为财政性投资项目占主导地位的建设单位的预选承包商。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（二）公开招标项目采用商务诚信法评标的，各投标人总得分由诚信综合评价得分和其他评审项目得分各按20%和80%权重加权平均计算。</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（三）施工总承包单位应优先采购诚信评价排名靠前企业生产的预拌砂浆。</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t>（四）各级散装水泥管理机构应将诚信评价排名后5名企业及其供应建设工程项目列为重点监管对象，加大日常的检查力度。</w:t>
      </w:r>
    </w:p>
    <w:p w:rsidR="00906555" w:rsidRDefault="00976B7B">
      <w:pPr>
        <w:widowControl/>
        <w:shd w:val="clear" w:color="auto" w:fill="FFFFFF"/>
        <w:spacing w:line="560" w:lineRule="exact"/>
        <w:ind w:firstLine="646"/>
        <w:rPr>
          <w:rFonts w:ascii="仿宋_GB2312" w:eastAsia="仿宋_GB2312" w:hAnsi="Times New Roman"/>
          <w:kern w:val="0"/>
          <w:sz w:val="32"/>
          <w:szCs w:val="32"/>
        </w:rPr>
      </w:pPr>
      <w:r>
        <w:rPr>
          <w:rFonts w:ascii="仿宋_GB2312" w:eastAsia="仿宋_GB2312" w:hAnsi="宋体" w:hint="eastAsia"/>
          <w:kern w:val="0"/>
          <w:sz w:val="32"/>
          <w:szCs w:val="32"/>
        </w:rPr>
        <w:lastRenderedPageBreak/>
        <w:t>（五）出现严重质量问题或者一个评价周期内扣分40分以上的严重不良行为的，列入黑名单并向社会公布。</w:t>
      </w:r>
    </w:p>
    <w:p w:rsidR="00906555" w:rsidRDefault="00976B7B">
      <w:pPr>
        <w:widowControl/>
        <w:shd w:val="clear" w:color="auto" w:fill="FFFFFF"/>
        <w:spacing w:line="560" w:lineRule="exact"/>
        <w:ind w:firstLine="646"/>
        <w:rPr>
          <w:rFonts w:ascii="仿宋_GB2312" w:eastAsia="仿宋_GB2312" w:hAnsi="宋体"/>
          <w:kern w:val="0"/>
          <w:sz w:val="32"/>
          <w:szCs w:val="32"/>
        </w:rPr>
      </w:pPr>
      <w:r>
        <w:rPr>
          <w:rFonts w:ascii="仿宋_GB2312" w:eastAsia="仿宋_GB2312" w:hAnsi="宋体" w:hint="eastAsia"/>
          <w:kern w:val="0"/>
          <w:sz w:val="32"/>
          <w:szCs w:val="32"/>
        </w:rPr>
        <w:t>六、本通知从2020年03月05日起执行，有效期一年。原《广州市城乡建设委员会关于印发&lt;广州市预拌砂浆企业诚信综合评价办法&gt;的通知》（</w:t>
      </w:r>
      <w:proofErr w:type="gramStart"/>
      <w:r>
        <w:rPr>
          <w:rFonts w:ascii="仿宋_GB2312" w:eastAsia="仿宋_GB2312" w:hAnsi="宋体" w:hint="eastAsia"/>
          <w:kern w:val="0"/>
          <w:sz w:val="32"/>
          <w:szCs w:val="32"/>
        </w:rPr>
        <w:t>穗建筑</w:t>
      </w:r>
      <w:proofErr w:type="gramEnd"/>
      <w:r>
        <w:rPr>
          <w:rFonts w:ascii="仿宋_GB2312" w:eastAsia="仿宋_GB2312" w:hAnsi="宋体" w:hint="eastAsia"/>
          <w:kern w:val="0"/>
          <w:sz w:val="32"/>
          <w:szCs w:val="32"/>
        </w:rPr>
        <w:t>〔2014〕1277号）同时废止。</w:t>
      </w:r>
    </w:p>
    <w:p w:rsidR="00906555" w:rsidRDefault="00976B7B">
      <w:pPr>
        <w:widowControl/>
        <w:jc w:val="left"/>
        <w:rPr>
          <w:rFonts w:ascii="仿宋_GB2312" w:eastAsia="仿宋_GB2312" w:hAnsi="Times New Roman"/>
          <w:kern w:val="0"/>
          <w:sz w:val="32"/>
          <w:szCs w:val="32"/>
        </w:rPr>
      </w:pPr>
      <w:r>
        <w:rPr>
          <w:rFonts w:ascii="仿宋_GB2312" w:eastAsia="仿宋_GB2312" w:hAnsi="宋体" w:cs="宋体"/>
          <w:kern w:val="0"/>
          <w:sz w:val="32"/>
          <w:szCs w:val="32"/>
        </w:rPr>
        <w:br w:type="page"/>
      </w:r>
      <w:r>
        <w:rPr>
          <w:rFonts w:ascii="仿宋_GB2312" w:eastAsia="仿宋_GB2312" w:hAnsi="宋体" w:hint="eastAsia"/>
          <w:kern w:val="0"/>
          <w:sz w:val="32"/>
          <w:szCs w:val="32"/>
        </w:rPr>
        <w:lastRenderedPageBreak/>
        <w:t>附件1</w:t>
      </w:r>
    </w:p>
    <w:p w:rsidR="00906555" w:rsidRDefault="00976B7B">
      <w:pPr>
        <w:widowControl/>
        <w:shd w:val="clear" w:color="auto" w:fill="FFFFFF"/>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预拌砂浆使用单位评价表</w:t>
      </w:r>
    </w:p>
    <w:tbl>
      <w:tblPr>
        <w:tblpPr w:leftFromText="180" w:rightFromText="180" w:vertAnchor="text"/>
        <w:tblW w:w="8655" w:type="dxa"/>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711"/>
        <w:gridCol w:w="3543"/>
        <w:gridCol w:w="2267"/>
        <w:gridCol w:w="709"/>
        <w:gridCol w:w="425"/>
      </w:tblGrid>
      <w:tr w:rsidR="00906555">
        <w:trPr>
          <w:trHeight w:val="756"/>
          <w:tblCellSpacing w:w="0" w:type="dxa"/>
        </w:trPr>
        <w:tc>
          <w:tcPr>
            <w:tcW w:w="1711"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项目</w:t>
            </w: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评价内容</w:t>
            </w:r>
          </w:p>
        </w:tc>
        <w:tc>
          <w:tcPr>
            <w:tcW w:w="2267"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扣分标准</w:t>
            </w:r>
          </w:p>
        </w:tc>
        <w:tc>
          <w:tcPr>
            <w:tcW w:w="70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扣分</w:t>
            </w:r>
          </w:p>
        </w:tc>
        <w:tc>
          <w:tcPr>
            <w:tcW w:w="425"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扣分</w:t>
            </w:r>
          </w:p>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限值</w:t>
            </w:r>
          </w:p>
        </w:tc>
      </w:tr>
      <w:tr w:rsidR="00906555">
        <w:trPr>
          <w:trHeight w:val="639"/>
          <w:tblCellSpacing w:w="0" w:type="dxa"/>
        </w:trPr>
        <w:tc>
          <w:tcPr>
            <w:tcW w:w="1711"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一、产品交付</w:t>
            </w: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交付及时、数量准确</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未按时交付、数量不准确的每次扣1分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4</w:t>
            </w:r>
          </w:p>
        </w:tc>
      </w:tr>
      <w:tr w:rsidR="00906555">
        <w:trPr>
          <w:trHeight w:val="263"/>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产品合格证、送货单随车提供</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未按要求提供的每次扣1分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468"/>
          <w:tblCellSpacing w:w="0" w:type="dxa"/>
        </w:trPr>
        <w:tc>
          <w:tcPr>
            <w:tcW w:w="1711"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二、产品质量水平</w:t>
            </w: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预拌砂浆的混合均匀性</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交货验收时检验，每批次出现均匀性不符合要求的，每次扣2分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10</w:t>
            </w:r>
          </w:p>
        </w:tc>
      </w:tr>
      <w:tr w:rsidR="00906555">
        <w:trPr>
          <w:trHeight w:val="468"/>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预拌砂浆的砂子粗细</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交货验收时检验，每批次出现砂子粗细不符合要求的，每次扣2分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468"/>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预拌砂浆产品的施工性能</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预拌砂浆产品施工性能不符合约定要求的，</w:t>
            </w:r>
            <w:r>
              <w:rPr>
                <w:rFonts w:ascii="仿宋_GB2312" w:eastAsia="仿宋_GB2312" w:hAnsi="宋体" w:hint="eastAsia"/>
                <w:kern w:val="0"/>
                <w:sz w:val="32"/>
                <w:szCs w:val="32"/>
              </w:rPr>
              <w:lastRenderedPageBreak/>
              <w:t>每次扣2分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lastRenderedPageBreak/>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i/>
                <w:iCs/>
                <w:kern w:val="0"/>
                <w:sz w:val="32"/>
                <w:szCs w:val="32"/>
              </w:rPr>
              <w:t>工地送第三方（具有CMA、CNAS、CAL资质）检测不合格的</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每次送检不合格的扣10分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trPr>
        <w:tc>
          <w:tcPr>
            <w:tcW w:w="1711"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三、技术支持</w:t>
            </w: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对品质异常处理的配合度及处理效率</w:t>
            </w:r>
            <w:r>
              <w:rPr>
                <w:rFonts w:ascii="仿宋_GB2312" w:eastAsia="仿宋_GB2312" w:hAnsi="宋体" w:hint="eastAsia"/>
                <w:i/>
                <w:iCs/>
                <w:kern w:val="0"/>
                <w:sz w:val="32"/>
                <w:szCs w:val="32"/>
              </w:rPr>
              <w:t>（2个工作日内派人处理）</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对品质异常处理不配合、不及时跟进处理情况的，每次扣2分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4</w:t>
            </w:r>
          </w:p>
        </w:tc>
      </w:tr>
      <w:tr w:rsidR="00906555">
        <w:trPr>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技术人员现场技术支持跟进</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未派出技术人员到现场进行技术支持的，扣2分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产品检验报告按时提交</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未按要求提交的每次扣1分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trPr>
        <w:tc>
          <w:tcPr>
            <w:tcW w:w="1711"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四、售后服务</w:t>
            </w: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售后服务人员主动配合做好相关工作</w:t>
            </w:r>
            <w:r>
              <w:rPr>
                <w:rFonts w:ascii="仿宋_GB2312" w:eastAsia="仿宋_GB2312" w:hAnsi="宋体" w:hint="eastAsia"/>
                <w:i/>
                <w:iCs/>
                <w:kern w:val="0"/>
                <w:sz w:val="32"/>
                <w:szCs w:val="32"/>
              </w:rPr>
              <w:t>（包括质量回访）</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未做好配合工作的，每次扣1分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2</w:t>
            </w:r>
          </w:p>
        </w:tc>
      </w:tr>
      <w:tr w:rsidR="00906555">
        <w:trPr>
          <w:tblCellSpacing w:w="0" w:type="dxa"/>
        </w:trPr>
        <w:tc>
          <w:tcPr>
            <w:tcW w:w="1711"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354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散装筒仓及搅拌系统维护</w:t>
            </w:r>
          </w:p>
        </w:tc>
        <w:tc>
          <w:tcPr>
            <w:tcW w:w="2267"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散装筒仓及搅拌系统维护不良的，扣1分</w:t>
            </w:r>
          </w:p>
        </w:tc>
        <w:tc>
          <w:tcPr>
            <w:tcW w:w="70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425"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trPr>
        <w:tc>
          <w:tcPr>
            <w:tcW w:w="7521" w:type="dxa"/>
            <w:gridSpan w:val="3"/>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总扣分：</w:t>
            </w:r>
          </w:p>
        </w:tc>
        <w:tc>
          <w:tcPr>
            <w:tcW w:w="1134" w:type="dxa"/>
            <w:gridSpan w:val="2"/>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 </w:t>
            </w:r>
          </w:p>
        </w:tc>
      </w:tr>
      <w:tr w:rsidR="00906555">
        <w:trPr>
          <w:tblCellSpacing w:w="0" w:type="dxa"/>
        </w:trPr>
        <w:tc>
          <w:tcPr>
            <w:tcW w:w="8655" w:type="dxa"/>
            <w:gridSpan w:val="5"/>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kern w:val="0"/>
                <w:sz w:val="32"/>
                <w:szCs w:val="32"/>
              </w:rPr>
              <w:t>备注：每个项目扣分限值不得超过表中规定的扣分限值，总扣分不超过20分</w:t>
            </w:r>
          </w:p>
        </w:tc>
      </w:tr>
    </w:tbl>
    <w:p w:rsidR="00906555" w:rsidRDefault="00976B7B">
      <w:pPr>
        <w:widowControl/>
        <w:shd w:val="clear" w:color="auto" w:fill="FFFFFF"/>
        <w:spacing w:line="560" w:lineRule="exact"/>
        <w:rPr>
          <w:rFonts w:ascii="仿宋_GB2312" w:eastAsia="仿宋_GB2312" w:hAnsi="Times New Roman"/>
          <w:kern w:val="0"/>
          <w:sz w:val="32"/>
          <w:szCs w:val="32"/>
        </w:rPr>
      </w:pPr>
      <w:r>
        <w:rPr>
          <w:rFonts w:ascii="仿宋_GB2312" w:eastAsia="仿宋_GB2312" w:hAnsi="宋体" w:hint="eastAsia"/>
          <w:kern w:val="0"/>
          <w:sz w:val="32"/>
          <w:szCs w:val="32"/>
        </w:rPr>
        <w:lastRenderedPageBreak/>
        <w:t>附件2</w:t>
      </w:r>
    </w:p>
    <w:p w:rsidR="00906555" w:rsidRDefault="00976B7B">
      <w:pPr>
        <w:widowControl/>
        <w:shd w:val="clear" w:color="auto" w:fill="FFFFFF"/>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预拌砂浆企业管理评价表</w:t>
      </w:r>
    </w:p>
    <w:tbl>
      <w:tblPr>
        <w:tblW w:w="8346" w:type="dxa"/>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0"/>
        <w:gridCol w:w="1302"/>
        <w:gridCol w:w="2553"/>
        <w:gridCol w:w="2679"/>
        <w:gridCol w:w="362"/>
        <w:gridCol w:w="680"/>
      </w:tblGrid>
      <w:tr w:rsidR="00906555">
        <w:trPr>
          <w:trHeight w:val="756"/>
          <w:tblCellSpacing w:w="0" w:type="dxa"/>
          <w:jc w:val="center"/>
        </w:trPr>
        <w:tc>
          <w:tcPr>
            <w:tcW w:w="2072" w:type="dxa"/>
            <w:gridSpan w:val="2"/>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项目</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评价内容</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评价分</w:t>
            </w:r>
          </w:p>
        </w:tc>
        <w:tc>
          <w:tcPr>
            <w:tcW w:w="36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扣分</w:t>
            </w:r>
          </w:p>
        </w:tc>
        <w:tc>
          <w:tcPr>
            <w:tcW w:w="680"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center"/>
              <w:rPr>
                <w:rFonts w:ascii="仿宋_GB2312" w:eastAsia="仿宋_GB2312" w:hAnsi="Times New Roman"/>
                <w:kern w:val="0"/>
                <w:sz w:val="32"/>
                <w:szCs w:val="32"/>
              </w:rPr>
            </w:pPr>
            <w:r>
              <w:rPr>
                <w:rFonts w:ascii="仿宋_GB2312" w:eastAsia="仿宋_GB2312" w:hAnsi="宋体" w:hint="eastAsia"/>
                <w:b/>
                <w:bCs/>
                <w:kern w:val="0"/>
                <w:sz w:val="32"/>
                <w:szCs w:val="32"/>
              </w:rPr>
              <w:t>扣分限值</w:t>
            </w:r>
          </w:p>
        </w:tc>
      </w:tr>
      <w:tr w:rsidR="00906555">
        <w:trPr>
          <w:trHeight w:val="1137"/>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一、人员和制度</w:t>
            </w: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技术和管理人总数</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有职称的工程技术人员3人（含）以上（其中中级工程技术人员≥1人）</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缺1人扣2分</w:t>
            </w:r>
          </w:p>
        </w:tc>
        <w:tc>
          <w:tcPr>
            <w:tcW w:w="36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68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10</w:t>
            </w:r>
            <w:r>
              <w:rPr>
                <w:rFonts w:ascii="仿宋_GB2312" w:eastAsia="仿宋_GB2312" w:hAnsi="宋体" w:hint="eastAsia"/>
                <w:kern w:val="0"/>
                <w:sz w:val="32"/>
                <w:szCs w:val="32"/>
              </w:rPr>
              <w:t> </w:t>
            </w:r>
          </w:p>
        </w:tc>
      </w:tr>
      <w:tr w:rsidR="00906555">
        <w:trPr>
          <w:trHeight w:val="2653"/>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管理制度和岗位责任制</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应建立有效的质量管理制度，明确岗位人员和责任人，并建立相应的岗位责任制。基本管理制度包括：原材料管理制度、</w:t>
            </w:r>
            <w:r>
              <w:rPr>
                <w:rFonts w:ascii="仿宋_GB2312" w:eastAsia="仿宋_GB2312" w:hAnsi="宋体" w:hint="eastAsia"/>
                <w:i/>
                <w:iCs/>
                <w:kern w:val="0"/>
                <w:sz w:val="32"/>
                <w:szCs w:val="32"/>
              </w:rPr>
              <w:t>质量管理规程、</w:t>
            </w:r>
            <w:r>
              <w:rPr>
                <w:rFonts w:ascii="仿宋_GB2312" w:eastAsia="仿宋_GB2312" w:hAnsi="宋体" w:hint="eastAsia"/>
                <w:kern w:val="0"/>
                <w:sz w:val="32"/>
                <w:szCs w:val="32"/>
              </w:rPr>
              <w:t>同管理制度、试验室管理制度、设备管理制度、生产管理制度、运输管理制度、原始记录控制</w:t>
            </w:r>
            <w:r>
              <w:rPr>
                <w:rFonts w:ascii="仿宋_GB2312" w:eastAsia="仿宋_GB2312" w:hAnsi="宋体" w:hint="eastAsia"/>
                <w:kern w:val="0"/>
                <w:sz w:val="32"/>
                <w:szCs w:val="32"/>
              </w:rPr>
              <w:lastRenderedPageBreak/>
              <w:t>制度、售后及技术服务制度、安全文明生产制度</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proofErr w:type="gramStart"/>
            <w:r>
              <w:rPr>
                <w:rFonts w:ascii="仿宋_GB2312" w:eastAsia="仿宋_GB2312" w:hAnsi="宋体" w:hint="eastAsia"/>
                <w:kern w:val="0"/>
                <w:sz w:val="32"/>
                <w:szCs w:val="32"/>
              </w:rPr>
              <w:lastRenderedPageBreak/>
              <w:t>缺其中</w:t>
            </w:r>
            <w:proofErr w:type="gramEnd"/>
            <w:r>
              <w:rPr>
                <w:rFonts w:ascii="仿宋_GB2312" w:eastAsia="仿宋_GB2312" w:hAnsi="宋体" w:hint="eastAsia"/>
                <w:kern w:val="0"/>
                <w:sz w:val="32"/>
                <w:szCs w:val="32"/>
              </w:rPr>
              <w:t>1项扣3分，有制度但未按制度实施扣2分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1073"/>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二、生产管理</w:t>
            </w: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原材料进场、材料验收、使用</w:t>
            </w:r>
            <w:proofErr w:type="gramStart"/>
            <w:r>
              <w:rPr>
                <w:rFonts w:ascii="仿宋_GB2312" w:eastAsia="仿宋_GB2312" w:hAnsi="宋体" w:hint="eastAsia"/>
                <w:kern w:val="0"/>
                <w:sz w:val="32"/>
                <w:szCs w:val="32"/>
              </w:rPr>
              <w:t>去向台</w:t>
            </w:r>
            <w:proofErr w:type="gramEnd"/>
            <w:r>
              <w:rPr>
                <w:rFonts w:ascii="仿宋_GB2312" w:eastAsia="仿宋_GB2312" w:hAnsi="宋体" w:hint="eastAsia"/>
                <w:kern w:val="0"/>
                <w:sz w:val="32"/>
                <w:szCs w:val="32"/>
              </w:rPr>
              <w:t>账</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应建立原材料</w:t>
            </w:r>
            <w:proofErr w:type="gramStart"/>
            <w:r>
              <w:rPr>
                <w:rFonts w:ascii="仿宋_GB2312" w:eastAsia="仿宋_GB2312" w:hAnsi="宋体" w:hint="eastAsia"/>
                <w:kern w:val="0"/>
                <w:sz w:val="32"/>
                <w:szCs w:val="32"/>
              </w:rPr>
              <w:t>进场台</w:t>
            </w:r>
            <w:proofErr w:type="gramEnd"/>
            <w:r>
              <w:rPr>
                <w:rFonts w:ascii="仿宋_GB2312" w:eastAsia="仿宋_GB2312" w:hAnsi="宋体" w:hint="eastAsia"/>
                <w:kern w:val="0"/>
                <w:sz w:val="32"/>
                <w:szCs w:val="32"/>
              </w:rPr>
              <w:t>账、正确记录原材料进场及使用</w:t>
            </w:r>
            <w:proofErr w:type="gramStart"/>
            <w:r>
              <w:rPr>
                <w:rFonts w:ascii="仿宋_GB2312" w:eastAsia="仿宋_GB2312" w:hAnsi="宋体" w:hint="eastAsia"/>
                <w:kern w:val="0"/>
                <w:sz w:val="32"/>
                <w:szCs w:val="32"/>
              </w:rPr>
              <w:t>去向台</w:t>
            </w:r>
            <w:proofErr w:type="gramEnd"/>
            <w:r>
              <w:rPr>
                <w:rFonts w:ascii="仿宋_GB2312" w:eastAsia="仿宋_GB2312" w:hAnsi="宋体" w:hint="eastAsia"/>
                <w:kern w:val="0"/>
                <w:sz w:val="32"/>
                <w:szCs w:val="32"/>
              </w:rPr>
              <w:t>账，并按要求录入监管系统</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每1项、每1次扣3分</w:t>
            </w:r>
          </w:p>
        </w:tc>
        <w:tc>
          <w:tcPr>
            <w:tcW w:w="36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68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r>
              <w:rPr>
                <w:rFonts w:ascii="仿宋_GB2312" w:eastAsia="仿宋_GB2312" w:hAnsi="宋体" w:hint="eastAsia"/>
                <w:kern w:val="0"/>
                <w:sz w:val="32"/>
                <w:szCs w:val="32"/>
              </w:rPr>
              <w:t>20</w:t>
            </w:r>
          </w:p>
        </w:tc>
      </w:tr>
      <w:tr w:rsidR="00906555">
        <w:trPr>
          <w:trHeight w:val="1229"/>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配合比设计</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按规范要求设计配合比并进行配合比试验，有完整的设计过程记录，配合比确认及调整应有技术负责人签字确认</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不按规范要求进行配合比设计扣3分，未</w:t>
            </w:r>
            <w:proofErr w:type="gramStart"/>
            <w:r>
              <w:rPr>
                <w:rFonts w:ascii="仿宋_GB2312" w:eastAsia="仿宋_GB2312" w:hAnsi="宋体" w:hint="eastAsia"/>
                <w:kern w:val="0"/>
                <w:sz w:val="32"/>
                <w:szCs w:val="32"/>
              </w:rPr>
              <w:t>按配合</w:t>
            </w:r>
            <w:proofErr w:type="gramEnd"/>
            <w:r>
              <w:rPr>
                <w:rFonts w:ascii="仿宋_GB2312" w:eastAsia="仿宋_GB2312" w:hAnsi="宋体" w:hint="eastAsia"/>
                <w:kern w:val="0"/>
                <w:sz w:val="32"/>
                <w:szCs w:val="32"/>
              </w:rPr>
              <w:t>比调整的扣2分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1002"/>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proofErr w:type="gramStart"/>
            <w:r>
              <w:rPr>
                <w:rFonts w:ascii="仿宋_GB2312" w:eastAsia="仿宋_GB2312" w:hAnsi="宋体" w:hint="eastAsia"/>
                <w:kern w:val="0"/>
                <w:sz w:val="32"/>
                <w:szCs w:val="32"/>
              </w:rPr>
              <w:t>按配合</w:t>
            </w:r>
            <w:proofErr w:type="gramEnd"/>
            <w:r>
              <w:rPr>
                <w:rFonts w:ascii="仿宋_GB2312" w:eastAsia="仿宋_GB2312" w:hAnsi="宋体" w:hint="eastAsia"/>
                <w:kern w:val="0"/>
                <w:sz w:val="32"/>
                <w:szCs w:val="32"/>
              </w:rPr>
              <w:t>比生产</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按有关标准要求，签发配合比通知单和调整单，并有存档记录</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未签发配合比通知单，发现1次 扣3分；未按标准要求签发调整单，发现1次 扣2分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549"/>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生产计量误差不</w:t>
            </w:r>
            <w:r>
              <w:rPr>
                <w:rFonts w:ascii="仿宋_GB2312" w:eastAsia="仿宋_GB2312" w:hAnsi="宋体" w:hint="eastAsia"/>
                <w:kern w:val="0"/>
                <w:sz w:val="32"/>
                <w:szCs w:val="32"/>
              </w:rPr>
              <w:lastRenderedPageBreak/>
              <w:t>得超过规定范围</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每一项超过范围扣</w:t>
            </w:r>
            <w:r>
              <w:rPr>
                <w:rFonts w:ascii="仿宋_GB2312" w:eastAsia="仿宋_GB2312" w:hAnsi="宋体" w:hint="eastAsia"/>
                <w:kern w:val="0"/>
                <w:sz w:val="32"/>
                <w:szCs w:val="32"/>
              </w:rPr>
              <w:lastRenderedPageBreak/>
              <w:t>3分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274"/>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必须按设计配合比投料生产</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不按设计配合比投料生产扣5分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946"/>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专线生产</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按要求专线生产，不得与混凝土混线生产</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未按要求专线生产的扣10分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1116"/>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试验人员</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有上岗证（检测员、试验工）人员不少于4人</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不达标准，扣3分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653"/>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计量配料系统</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电脑配料，给</w:t>
            </w:r>
            <w:proofErr w:type="gramStart"/>
            <w:r>
              <w:rPr>
                <w:rFonts w:ascii="仿宋_GB2312" w:eastAsia="仿宋_GB2312" w:hAnsi="宋体" w:hint="eastAsia"/>
                <w:kern w:val="0"/>
                <w:sz w:val="32"/>
                <w:szCs w:val="32"/>
              </w:rPr>
              <w:t>逐盘记录</w:t>
            </w:r>
            <w:proofErr w:type="gramEnd"/>
            <w:r>
              <w:rPr>
                <w:rFonts w:ascii="仿宋_GB2312" w:eastAsia="仿宋_GB2312" w:hAnsi="宋体" w:hint="eastAsia"/>
                <w:kern w:val="0"/>
                <w:sz w:val="32"/>
                <w:szCs w:val="32"/>
              </w:rPr>
              <w:t>实际计量情况，且保存12个月以上</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每缺1个月扣3分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832"/>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生产、试验设备</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生产线计量仪器、试验设备检定（校准、测试）周期符合有关规定，并有法定计量部门有效合格证书、有完整的设备台账，有完整的维护保养记录台账</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发现无效或缺少1页扣2分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468"/>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三、试验</w:t>
            </w:r>
            <w:r>
              <w:rPr>
                <w:rFonts w:ascii="仿宋_GB2312" w:eastAsia="仿宋_GB2312" w:hAnsi="宋体" w:hint="eastAsia"/>
                <w:kern w:val="0"/>
                <w:sz w:val="32"/>
                <w:szCs w:val="32"/>
              </w:rPr>
              <w:lastRenderedPageBreak/>
              <w:t>室管理</w:t>
            </w: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试验室环境</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试验按照规定分区，成型室、力学</w:t>
            </w:r>
            <w:r>
              <w:rPr>
                <w:rFonts w:ascii="仿宋_GB2312" w:eastAsia="仿宋_GB2312" w:hAnsi="宋体" w:hint="eastAsia"/>
                <w:kern w:val="0"/>
                <w:sz w:val="32"/>
                <w:szCs w:val="32"/>
              </w:rPr>
              <w:lastRenderedPageBreak/>
              <w:t>室、留样室、应建立独立的砂浆试块</w:t>
            </w:r>
            <w:proofErr w:type="gramStart"/>
            <w:r>
              <w:rPr>
                <w:rFonts w:ascii="仿宋_GB2312" w:eastAsia="仿宋_GB2312" w:hAnsi="宋体" w:hint="eastAsia"/>
                <w:kern w:val="0"/>
                <w:sz w:val="32"/>
                <w:szCs w:val="32"/>
              </w:rPr>
              <w:t>养护室</w:t>
            </w:r>
            <w:proofErr w:type="gramEnd"/>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不符要求扣5分</w:t>
            </w:r>
          </w:p>
        </w:tc>
        <w:tc>
          <w:tcPr>
            <w:tcW w:w="36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68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r>
              <w:rPr>
                <w:rFonts w:ascii="仿宋_GB2312" w:eastAsia="仿宋_GB2312" w:hAnsi="宋体" w:hint="eastAsia"/>
                <w:kern w:val="0"/>
                <w:sz w:val="32"/>
                <w:szCs w:val="32"/>
              </w:rPr>
              <w:t>20</w:t>
            </w:r>
          </w:p>
        </w:tc>
      </w:tr>
      <w:tr w:rsidR="00906555">
        <w:trPr>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试块制作和养护</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试验室温湿度符合有关标准要求，并有记录，试件存放有序，试块标识（编号、等级、日期）应符合有关规定</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温湿度不符合、记录不齐全的，1处扣2分；试块存放、标识不符合规定，发现1处扣3分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963"/>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四、原材料进场、检验、留样</w:t>
            </w: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原材料质量证明书</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应有</w:t>
            </w:r>
            <w:r>
              <w:rPr>
                <w:rFonts w:ascii="仿宋_GB2312" w:eastAsia="仿宋_GB2312" w:hAnsi="宋体" w:hint="eastAsia"/>
                <w:i/>
                <w:iCs/>
                <w:kern w:val="0"/>
                <w:sz w:val="32"/>
                <w:szCs w:val="32"/>
              </w:rPr>
              <w:t>供应单位</w:t>
            </w:r>
            <w:r>
              <w:rPr>
                <w:rFonts w:ascii="仿宋_GB2312" w:eastAsia="仿宋_GB2312" w:hAnsi="宋体" w:hint="eastAsia"/>
                <w:kern w:val="0"/>
                <w:sz w:val="32"/>
                <w:szCs w:val="32"/>
              </w:rPr>
              <w:t>按批提供的原材料（水泥、粉煤灰、外加剂等）合格证明文件</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缺1批原材料合格证明文件扣3分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885"/>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原材料复试检验</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按规定对原材料进行复试检验，并有真实有效的检测记录和台账，不合格材料或主管部门通报违规原材料供应商的材料不得使用</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不复试、复试检验弄虚作假、使用不合格材料、使用了主管部门通报不合格供应商原材料，扣10分；复试不符合标准规范要求，扣5分</w:t>
            </w:r>
          </w:p>
        </w:tc>
        <w:tc>
          <w:tcPr>
            <w:tcW w:w="362" w:type="dxa"/>
            <w:vMerge w:val="restart"/>
            <w:tcBorders>
              <w:top w:val="single" w:sz="8" w:space="0" w:color="auto"/>
              <w:left w:val="single" w:sz="8" w:space="0" w:color="auto"/>
              <w:bottom w:val="nil"/>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680" w:type="dxa"/>
            <w:vMerge w:val="restart"/>
            <w:tcBorders>
              <w:top w:val="single" w:sz="8" w:space="0" w:color="auto"/>
              <w:left w:val="single" w:sz="8" w:space="0" w:color="auto"/>
              <w:bottom w:val="nil"/>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r>
              <w:rPr>
                <w:rFonts w:ascii="仿宋_GB2312" w:eastAsia="仿宋_GB2312" w:hAnsi="宋体" w:hint="eastAsia"/>
                <w:kern w:val="0"/>
                <w:sz w:val="32"/>
                <w:szCs w:val="32"/>
              </w:rPr>
              <w:t>20</w:t>
            </w:r>
          </w:p>
        </w:tc>
      </w:tr>
      <w:tr w:rsidR="00906555">
        <w:trPr>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原材料</w:t>
            </w:r>
            <w:r>
              <w:rPr>
                <w:rFonts w:ascii="仿宋_GB2312" w:eastAsia="仿宋_GB2312" w:hAnsi="宋体" w:hint="eastAsia"/>
                <w:kern w:val="0"/>
                <w:sz w:val="32"/>
                <w:szCs w:val="32"/>
              </w:rPr>
              <w:lastRenderedPageBreak/>
              <w:t>留样</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按规定对原材料</w:t>
            </w:r>
            <w:r>
              <w:rPr>
                <w:rFonts w:ascii="仿宋_GB2312" w:eastAsia="仿宋_GB2312" w:hAnsi="宋体" w:hint="eastAsia"/>
                <w:kern w:val="0"/>
                <w:sz w:val="32"/>
                <w:szCs w:val="32"/>
              </w:rPr>
              <w:lastRenderedPageBreak/>
              <w:t>进行留样，其中水泥、粉煤灰等掺合料需留样三个月，外加剂需留样1个月以上</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每缺1个批次扣2</w:t>
            </w:r>
            <w:r>
              <w:rPr>
                <w:rFonts w:ascii="仿宋_GB2312" w:eastAsia="仿宋_GB2312" w:hAnsi="宋体" w:hint="eastAsia"/>
                <w:kern w:val="0"/>
                <w:sz w:val="32"/>
                <w:szCs w:val="32"/>
              </w:rPr>
              <w:lastRenderedPageBreak/>
              <w:t>分</w:t>
            </w:r>
          </w:p>
        </w:tc>
        <w:tc>
          <w:tcPr>
            <w:tcW w:w="362"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五、预拌砂浆出厂质量</w:t>
            </w: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出厂检验</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预拌砂浆出场按规定检验，应符合有关标准要求，并有记录</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检验不符合标准要求，每一项扣5分；检验不合格仍出厂，扣10分；检验记录弄虚作假扣10分；伪造第三方检测报告的扣20分</w:t>
            </w:r>
          </w:p>
        </w:tc>
        <w:tc>
          <w:tcPr>
            <w:tcW w:w="362"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质量抽检</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工程现场预拌砂浆等抽查结果不符合设计和有关标准的要求，并认定为预拌砂浆产品质量责任的</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抽查达不到设计要求扣10分</w:t>
            </w:r>
          </w:p>
        </w:tc>
        <w:tc>
          <w:tcPr>
            <w:tcW w:w="362"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jc w:val="center"/>
        </w:trPr>
        <w:tc>
          <w:tcPr>
            <w:tcW w:w="770"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六、其它</w:t>
            </w:r>
          </w:p>
        </w:tc>
        <w:tc>
          <w:tcPr>
            <w:tcW w:w="130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违反行业管理规定的行为</w:t>
            </w: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及时、准确提供或报送统计报表及相关资料的</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未及时准确报送每次扣2分</w:t>
            </w:r>
          </w:p>
        </w:tc>
        <w:tc>
          <w:tcPr>
            <w:tcW w:w="362" w:type="dxa"/>
            <w:vMerge w:val="restart"/>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680" w:type="dxa"/>
            <w:vMerge w:val="restart"/>
            <w:tcBorders>
              <w:top w:val="single" w:sz="8" w:space="0" w:color="auto"/>
              <w:left w:val="single" w:sz="8" w:space="0" w:color="auto"/>
              <w:bottom w:val="nil"/>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20</w:t>
            </w:r>
          </w:p>
        </w:tc>
      </w:tr>
      <w:tr w:rsidR="00906555">
        <w:trPr>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虚开票据的</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每次扣20分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256"/>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改建、扩建生产线未取得主管部门</w:t>
            </w:r>
            <w:r>
              <w:rPr>
                <w:rFonts w:ascii="仿宋_GB2312" w:eastAsia="仿宋_GB2312" w:hAnsi="宋体" w:hint="eastAsia"/>
                <w:kern w:val="0"/>
                <w:sz w:val="32"/>
                <w:szCs w:val="32"/>
              </w:rPr>
              <w:lastRenderedPageBreak/>
              <w:t>书面同意的</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每次扣20分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274"/>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企业应按备案范围生产；不得涂改、倒卖、出租、出借或者以其他形式非法转让备案证书；应协助、配合有关行政管理部门的监督检查；不得隐瞒质量事故。</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违反一项每次扣10分</w:t>
            </w:r>
          </w:p>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300"/>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其他违规行为</w:t>
            </w:r>
          </w:p>
        </w:tc>
        <w:tc>
          <w:tcPr>
            <w:tcW w:w="2679" w:type="dxa"/>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每次扣2至10分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single" w:sz="8" w:space="0" w:color="auto"/>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rHeight w:val="749"/>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val="restart"/>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加分情形</w:t>
            </w:r>
          </w:p>
        </w:tc>
        <w:tc>
          <w:tcPr>
            <w:tcW w:w="2553"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参加抢险救灾等受到省、市建设行政管理部门通报表扬的</w:t>
            </w:r>
          </w:p>
        </w:tc>
        <w:tc>
          <w:tcPr>
            <w:tcW w:w="267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省、市每次分别加3分、2分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val="restart"/>
            <w:tcBorders>
              <w:top w:val="nil"/>
              <w:left w:val="single" w:sz="8" w:space="0" w:color="auto"/>
              <w:bottom w:val="nil"/>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r>
      <w:tr w:rsidR="00906555">
        <w:trPr>
          <w:trHeight w:val="605"/>
          <w:tblCellSpacing w:w="0" w:type="dxa"/>
          <w:jc w:val="center"/>
        </w:trPr>
        <w:tc>
          <w:tcPr>
            <w:tcW w:w="770"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130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2553"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i/>
                <w:iCs/>
                <w:kern w:val="0"/>
                <w:sz w:val="32"/>
                <w:szCs w:val="32"/>
              </w:rPr>
              <w:t>在规定期限内通过砂浆企业绿色生产达标考核的；通过清洁生产验收的企业；利用建筑废弃物或工业废弃物进行生产，取得资源综合利</w:t>
            </w:r>
            <w:r>
              <w:rPr>
                <w:rFonts w:ascii="仿宋_GB2312" w:eastAsia="仿宋_GB2312" w:hAnsi="宋体" w:hint="eastAsia"/>
                <w:i/>
                <w:iCs/>
                <w:kern w:val="0"/>
                <w:sz w:val="32"/>
                <w:szCs w:val="32"/>
              </w:rPr>
              <w:lastRenderedPageBreak/>
              <w:t>用证书的企业。</w:t>
            </w:r>
          </w:p>
        </w:tc>
        <w:tc>
          <w:tcPr>
            <w:tcW w:w="2679" w:type="dxa"/>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加5分</w:t>
            </w:r>
          </w:p>
        </w:tc>
        <w:tc>
          <w:tcPr>
            <w:tcW w:w="362" w:type="dxa"/>
            <w:vMerge/>
            <w:tcBorders>
              <w:top w:val="single" w:sz="8" w:space="0" w:color="auto"/>
              <w:left w:val="single" w:sz="8" w:space="0" w:color="auto"/>
              <w:bottom w:val="single" w:sz="8" w:space="0" w:color="auto"/>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c>
          <w:tcPr>
            <w:tcW w:w="680" w:type="dxa"/>
            <w:vMerge/>
            <w:tcBorders>
              <w:top w:val="nil"/>
              <w:left w:val="single" w:sz="8" w:space="0" w:color="auto"/>
              <w:bottom w:val="nil"/>
              <w:right w:val="single" w:sz="8" w:space="0" w:color="auto"/>
            </w:tcBorders>
            <w:vAlign w:val="center"/>
          </w:tcPr>
          <w:p w:rsidR="00906555" w:rsidRDefault="00906555">
            <w:pPr>
              <w:widowControl/>
              <w:spacing w:line="560" w:lineRule="exact"/>
              <w:jc w:val="left"/>
              <w:rPr>
                <w:rFonts w:ascii="仿宋_GB2312" w:eastAsia="仿宋_GB2312" w:hAnsi="Times New Roman"/>
                <w:kern w:val="0"/>
                <w:sz w:val="32"/>
                <w:szCs w:val="32"/>
              </w:rPr>
            </w:pPr>
          </w:p>
        </w:tc>
      </w:tr>
      <w:tr w:rsidR="00906555">
        <w:trPr>
          <w:tblCellSpacing w:w="0" w:type="dxa"/>
          <w:jc w:val="center"/>
        </w:trPr>
        <w:tc>
          <w:tcPr>
            <w:tcW w:w="7304" w:type="dxa"/>
            <w:gridSpan w:val="4"/>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lastRenderedPageBreak/>
              <w:t>总扣分：</w:t>
            </w:r>
          </w:p>
        </w:tc>
        <w:tc>
          <w:tcPr>
            <w:tcW w:w="1042" w:type="dxa"/>
            <w:gridSpan w:val="2"/>
            <w:tcBorders>
              <w:top w:val="single" w:sz="8" w:space="0" w:color="auto"/>
              <w:left w:val="single" w:sz="8" w:space="0" w:color="auto"/>
              <w:bottom w:val="single" w:sz="8" w:space="0" w:color="auto"/>
              <w:right w:val="single" w:sz="8" w:space="0" w:color="auto"/>
            </w:tcBorders>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tc>
      </w:tr>
      <w:tr w:rsidR="00906555">
        <w:trPr>
          <w:tblCellSpacing w:w="0" w:type="dxa"/>
          <w:jc w:val="center"/>
        </w:trPr>
        <w:tc>
          <w:tcPr>
            <w:tcW w:w="8346" w:type="dxa"/>
            <w:gridSpan w:val="6"/>
            <w:tcBorders>
              <w:top w:val="single" w:sz="8" w:space="0" w:color="auto"/>
              <w:left w:val="single" w:sz="8" w:space="0" w:color="auto"/>
              <w:bottom w:val="single" w:sz="8" w:space="0" w:color="auto"/>
              <w:right w:val="single" w:sz="8" w:space="0" w:color="auto"/>
            </w:tcBorders>
            <w:vAlign w:val="center"/>
          </w:tcPr>
          <w:p w:rsidR="00906555" w:rsidRDefault="00976B7B">
            <w:pPr>
              <w:widowControl/>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备注：每个项目扣分限值不得超过表中规定的扣分限值，以上各项评价分有效期为半年。</w:t>
            </w:r>
            <w:r>
              <w:rPr>
                <w:rFonts w:ascii="仿宋_GB2312" w:eastAsia="仿宋_GB2312" w:hAnsi="宋体" w:hint="eastAsia"/>
                <w:kern w:val="0"/>
                <w:sz w:val="32"/>
                <w:szCs w:val="32"/>
              </w:rPr>
              <w:t> </w:t>
            </w:r>
          </w:p>
        </w:tc>
      </w:tr>
    </w:tbl>
    <w:p w:rsidR="00906555" w:rsidRDefault="00976B7B">
      <w:pPr>
        <w:widowControl/>
        <w:shd w:val="clear" w:color="auto" w:fill="FFFFFF"/>
        <w:spacing w:line="560" w:lineRule="exact"/>
        <w:jc w:val="left"/>
        <w:rPr>
          <w:rFonts w:ascii="仿宋_GB2312" w:eastAsia="仿宋_GB2312" w:hAnsi="Times New Roman"/>
          <w:kern w:val="0"/>
          <w:sz w:val="32"/>
          <w:szCs w:val="32"/>
        </w:rPr>
      </w:pPr>
      <w:r>
        <w:rPr>
          <w:rFonts w:ascii="仿宋_GB2312" w:eastAsia="仿宋_GB2312" w:hAnsi="宋体" w:hint="eastAsia"/>
          <w:kern w:val="0"/>
          <w:sz w:val="32"/>
          <w:szCs w:val="32"/>
        </w:rPr>
        <w:t> </w:t>
      </w:r>
    </w:p>
    <w:p w:rsidR="00906555" w:rsidRDefault="00976B7B">
      <w:pPr>
        <w:widowControl/>
        <w:shd w:val="clear" w:color="auto" w:fill="FFFFFF"/>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 </w:t>
      </w: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pPr>
        <w:widowControl/>
        <w:shd w:val="clear" w:color="auto" w:fill="FFFFFF"/>
        <w:spacing w:line="560" w:lineRule="exact"/>
        <w:jc w:val="left"/>
        <w:rPr>
          <w:rFonts w:ascii="仿宋_GB2312" w:eastAsia="仿宋_GB2312" w:hAnsi="宋体"/>
          <w:kern w:val="0"/>
          <w:sz w:val="32"/>
          <w:szCs w:val="32"/>
        </w:rPr>
      </w:pPr>
    </w:p>
    <w:p w:rsidR="00906555" w:rsidRDefault="00906555"/>
    <w:sectPr w:rsidR="00906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E8" w:rsidRDefault="006069E8" w:rsidP="00CB2AB7">
      <w:r>
        <w:separator/>
      </w:r>
    </w:p>
  </w:endnote>
  <w:endnote w:type="continuationSeparator" w:id="0">
    <w:p w:rsidR="006069E8" w:rsidRDefault="006069E8" w:rsidP="00CB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E8" w:rsidRDefault="006069E8" w:rsidP="00CB2AB7">
      <w:r>
        <w:separator/>
      </w:r>
    </w:p>
  </w:footnote>
  <w:footnote w:type="continuationSeparator" w:id="0">
    <w:p w:rsidR="006069E8" w:rsidRDefault="006069E8" w:rsidP="00CB2A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郑文栋">
    <w15:presenceInfo w15:providerId="None" w15:userId="郑文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97586"/>
    <w:rsid w:val="006069E8"/>
    <w:rsid w:val="00906555"/>
    <w:rsid w:val="00976B7B"/>
    <w:rsid w:val="00CB2AB7"/>
    <w:rsid w:val="23242B95"/>
    <w:rsid w:val="2D292D28"/>
    <w:rsid w:val="70297586"/>
    <w:rsid w:val="7526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2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2AB7"/>
    <w:rPr>
      <w:rFonts w:ascii="Calibri" w:hAnsi="Calibri"/>
      <w:kern w:val="2"/>
      <w:sz w:val="18"/>
      <w:szCs w:val="18"/>
    </w:rPr>
  </w:style>
  <w:style w:type="paragraph" w:styleId="a4">
    <w:name w:val="footer"/>
    <w:basedOn w:val="a"/>
    <w:link w:val="Char0"/>
    <w:rsid w:val="00CB2AB7"/>
    <w:pPr>
      <w:tabs>
        <w:tab w:val="center" w:pos="4153"/>
        <w:tab w:val="right" w:pos="8306"/>
      </w:tabs>
      <w:snapToGrid w:val="0"/>
      <w:jc w:val="left"/>
    </w:pPr>
    <w:rPr>
      <w:sz w:val="18"/>
      <w:szCs w:val="18"/>
    </w:rPr>
  </w:style>
  <w:style w:type="character" w:customStyle="1" w:styleId="Char0">
    <w:name w:val="页脚 Char"/>
    <w:basedOn w:val="a0"/>
    <w:link w:val="a4"/>
    <w:rsid w:val="00CB2AB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2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2AB7"/>
    <w:rPr>
      <w:rFonts w:ascii="Calibri" w:hAnsi="Calibri"/>
      <w:kern w:val="2"/>
      <w:sz w:val="18"/>
      <w:szCs w:val="18"/>
    </w:rPr>
  </w:style>
  <w:style w:type="paragraph" w:styleId="a4">
    <w:name w:val="footer"/>
    <w:basedOn w:val="a"/>
    <w:link w:val="Char0"/>
    <w:rsid w:val="00CB2AB7"/>
    <w:pPr>
      <w:tabs>
        <w:tab w:val="center" w:pos="4153"/>
        <w:tab w:val="right" w:pos="8306"/>
      </w:tabs>
      <w:snapToGrid w:val="0"/>
      <w:jc w:val="left"/>
    </w:pPr>
    <w:rPr>
      <w:sz w:val="18"/>
      <w:szCs w:val="18"/>
    </w:rPr>
  </w:style>
  <w:style w:type="character" w:customStyle="1" w:styleId="Char0">
    <w:name w:val="页脚 Char"/>
    <w:basedOn w:val="a0"/>
    <w:link w:val="a4"/>
    <w:rsid w:val="00CB2AB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郑文栋</dc:creator>
  <cp:lastModifiedBy>戴泽昶</cp:lastModifiedBy>
  <cp:revision>3</cp:revision>
  <dcterms:created xsi:type="dcterms:W3CDTF">2020-02-27T09:15:00Z</dcterms:created>
  <dcterms:modified xsi:type="dcterms:W3CDTF">2020-08-17T03:14:00Z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