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cs="仿宋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人才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  <w:lang w:eastAsia="zh-CN"/>
        </w:rPr>
        <w:t>自住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住房租金补贴面积标准</w:t>
      </w:r>
    </w:p>
    <w:tbl>
      <w:tblPr>
        <w:tblStyle w:val="4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5"/>
        <w:gridCol w:w="262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人才类别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面积（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㎡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（不超过）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租金优惠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博士研究生学历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学位人员，或具有副高级职称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及以上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，或国家职业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资格证、职业技能等级证一级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技能等级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及以上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人员。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90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产业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紧缺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骨干人才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硕士研究生学历和学位人员，或具有中级职称，或国家职业资格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证、职业技能等级证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二级技能等级人员。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70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港澳青年（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年龄范围18-45周岁的香港、澳门籍居民，遵纪守法，拥护“一国两制”，无违法违规等不良行为记录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全日制本科学历和学士学位人员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60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ind w:left="0" w:leftChars="0"/>
        <w:jc w:val="center"/>
      </w:pP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人才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  <w:lang w:eastAsia="zh-CN"/>
        </w:rPr>
        <w:t>父母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住房租金补贴面积标准</w:t>
      </w:r>
    </w:p>
    <w:tbl>
      <w:tblPr>
        <w:tblStyle w:val="4"/>
        <w:tblW w:w="12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2"/>
        <w:gridCol w:w="245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人才类别</w:t>
            </w:r>
          </w:p>
        </w:tc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面积（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㎡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18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（不超过）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租金优惠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8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2"/>
                <w:highlight w:val="none"/>
              </w:rPr>
              <w:t>杰出人才、优秀人才、精英人才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突出贡献企业家、领军企业家、新星企业家、优秀管理人、先锋投资人及杰出科技人才（A类）、优秀科技人才（B类）、精英科技人才（C类）、新秀科技人才（D类）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1733"/>
    <w:rsid w:val="0DD21733"/>
    <w:rsid w:val="662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26" w:lineRule="atLeast"/>
      <w:jc w:val="left"/>
      <w:textAlignment w:val="baseline"/>
    </w:pPr>
    <w:rPr>
      <w:rFonts w:hint="eastAsia" w:ascii="宋体" w:hAnsi="宋体" w:eastAsia="黑体" w:cs="宋体"/>
      <w:b/>
      <w:bCs/>
      <w:color w:val="333333"/>
      <w:kern w:val="0"/>
      <w:sz w:val="32"/>
      <w:szCs w:val="24"/>
      <w:u w:val="none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2024-04-23T08:38:00Z</dcterms:created>
  <dc:creator>WIN10</dc:creator>
  <cp:lastModifiedBy>WIN10</cp:lastModifiedBy>
  <dcterms:modified xsi:type="dcterms:W3CDTF">2024-04-23T08:39:55Z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499744B40FC84D77878AA54B7C152279</vt:lpwstr>
  </property>
</Properties>
</file>