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w:t>
      </w:r>
      <w:r>
        <w:rPr>
          <w:rFonts w:hint="eastAsia" w:ascii="Times New Roman" w:hAnsi="Times New Roman" w:eastAsia="方正小标宋简体" w:cs="Times New Roman"/>
          <w:color w:val="000000"/>
          <w:sz w:val="32"/>
          <w:szCs w:val="32"/>
          <w:lang w:eastAsia="zh-CN"/>
        </w:rPr>
        <w:t>冷水水表</w:t>
      </w:r>
      <w:r>
        <w:rPr>
          <w:rFonts w:hint="eastAsia" w:ascii="Times New Roman" w:hAnsi="Times New Roman" w:eastAsia="方正小标宋简体" w:cs="Times New Roman"/>
          <w:color w:val="000000"/>
          <w:sz w:val="32"/>
          <w:szCs w:val="32"/>
        </w:rPr>
        <w:t>产品质量监督抽查实施细则</w:t>
      </w:r>
    </w:p>
    <w:p>
      <w:pPr>
        <w:adjustRightInd w:val="0"/>
        <w:snapToGrid w:val="0"/>
        <w:spacing w:line="360" w:lineRule="auto"/>
        <w:jc w:val="center"/>
        <w:rPr>
          <w:rFonts w:hint="default" w:ascii="Times New Roman" w:hAnsi="Times New Roman" w:eastAsia="方正小标宋简体" w:cs="Times New Roman"/>
          <w:color w:val="000000"/>
          <w:sz w:val="28"/>
          <w:szCs w:val="28"/>
          <w:lang w:val="en-US" w:eastAsia="zh-CN"/>
        </w:rPr>
      </w:pPr>
      <w:r>
        <w:rPr>
          <w:rFonts w:hint="eastAsia" w:ascii="Times New Roman" w:hAnsi="Times New Roman" w:eastAsia="方正小标宋简体" w:cs="Times New Roman"/>
          <w:color w:val="000000"/>
          <w:sz w:val="28"/>
          <w:szCs w:val="28"/>
          <w:lang w:val="en-US" w:eastAsia="zh-CN"/>
        </w:rPr>
        <w:t>（2024年4月修订版）</w:t>
      </w:r>
    </w:p>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抽样小组由2名以上（含2名）人员参加。</w:t>
      </w:r>
      <w:r>
        <w:rPr>
          <w:rFonts w:hint="eastAsia" w:ascii="Times New Roman" w:hAnsi="Times New Roman" w:cs="Times New Roman"/>
          <w:color w:val="000000"/>
          <w:szCs w:val="21"/>
          <w:lang w:val="en-US" w:eastAsia="zh-CN"/>
        </w:rPr>
        <w:t>以</w:t>
      </w:r>
      <w:r>
        <w:rPr>
          <w:rFonts w:ascii="Times New Roman" w:hAnsi="Times New Roman" w:cs="Times New Roman"/>
          <w:color w:val="000000"/>
          <w:szCs w:val="21"/>
        </w:rPr>
        <w:t>随机抽取</w:t>
      </w:r>
      <w:r>
        <w:rPr>
          <w:rFonts w:hint="eastAsia" w:ascii="Times New Roman" w:hAnsi="Times New Roman" w:cs="Times New Roman"/>
          <w:color w:val="000000"/>
          <w:szCs w:val="21"/>
          <w:lang w:val="en-US" w:eastAsia="zh-CN"/>
        </w:rPr>
        <w:t>的方式</w:t>
      </w:r>
      <w:r>
        <w:rPr>
          <w:rFonts w:ascii="Times New Roman" w:hAnsi="Times New Roman" w:cs="Times New Roman"/>
          <w:color w:val="000000"/>
          <w:szCs w:val="21"/>
        </w:rPr>
        <w:t>在</w:t>
      </w:r>
      <w:r>
        <w:rPr>
          <w:rFonts w:hint="eastAsia" w:ascii="Times New Roman" w:hAnsi="Times New Roman" w:cs="Times New Roman"/>
          <w:color w:val="000000"/>
          <w:szCs w:val="21"/>
        </w:rPr>
        <w:t>被抽检企业</w:t>
      </w:r>
      <w:r>
        <w:rPr>
          <w:rFonts w:ascii="Times New Roman" w:hAnsi="Times New Roman" w:cs="Times New Roman"/>
          <w:color w:val="000000"/>
          <w:szCs w:val="21"/>
        </w:rPr>
        <w:t>的待销产品中有产品质量检验合格证明或者以其他形式表明合格的、近期生产的产品。</w:t>
      </w:r>
    </w:p>
    <w:p>
      <w:pPr>
        <w:adjustRightInd w:val="0"/>
        <w:snapToGrid w:val="0"/>
        <w:spacing w:line="360" w:lineRule="auto"/>
        <w:ind w:firstLine="420" w:firstLineChars="200"/>
        <w:rPr>
          <w:rFonts w:hint="default"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每批次产品抽取8个样品，其中</w:t>
      </w:r>
      <w:r>
        <w:rPr>
          <w:rFonts w:hint="eastAsia"/>
          <w:color w:val="000000"/>
          <w:szCs w:val="21"/>
          <w:lang w:val="en-US" w:eastAsia="zh-CN"/>
        </w:rPr>
        <w:t>4个</w:t>
      </w:r>
      <w:r>
        <w:rPr>
          <w:color w:val="000000"/>
          <w:szCs w:val="21"/>
        </w:rPr>
        <w:t>作为检验样品，</w:t>
      </w:r>
      <w:r>
        <w:rPr>
          <w:rFonts w:hint="eastAsia"/>
          <w:color w:val="000000"/>
          <w:szCs w:val="21"/>
          <w:lang w:val="en-US" w:eastAsia="zh-CN"/>
        </w:rPr>
        <w:t>4个</w:t>
      </w:r>
      <w:r>
        <w:rPr>
          <w:color w:val="000000"/>
          <w:szCs w:val="21"/>
        </w:rPr>
        <w:t>作为备用样品</w:t>
      </w:r>
      <w:r>
        <w:rPr>
          <w:rFonts w:hint="eastAsia" w:ascii="Times New Roman" w:hAnsi="Times New Roman" w:cs="Times New Roman"/>
          <w:color w:val="000000"/>
          <w:szCs w:val="21"/>
          <w:lang w:val="en-US" w:eastAsia="zh-CN"/>
        </w:rPr>
        <w:t>。</w:t>
      </w:r>
    </w:p>
    <w:p>
      <w:pPr>
        <w:adjustRightInd w:val="0"/>
        <w:snapToGrid w:val="0"/>
        <w:spacing w:line="360" w:lineRule="auto"/>
        <w:ind w:firstLine="420" w:firstLineChars="200"/>
        <w:rPr>
          <w:szCs w:val="32"/>
        </w:rPr>
      </w:pPr>
      <w:r>
        <w:rPr>
          <w:rFonts w:hint="eastAsia"/>
          <w:szCs w:val="32"/>
        </w:rPr>
        <w:t>将抽取的样品密封，贴上样品标签，加封封条</w:t>
      </w:r>
      <w:r>
        <w:rPr>
          <w:rFonts w:hint="eastAsia" w:ascii="Times New Roman" w:hAnsi="Times New Roman" w:cs="Times New Roman"/>
          <w:kern w:val="0"/>
          <w:szCs w:val="21"/>
        </w:rPr>
        <w:t>，送至</w:t>
      </w:r>
      <w:r>
        <w:rPr>
          <w:rFonts w:hint="eastAsia"/>
          <w:szCs w:val="32"/>
        </w:rPr>
        <w:t>检验机构。</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p>
      <w:pPr>
        <w:adjustRightInd w:val="0"/>
        <w:snapToGrid w:val="0"/>
        <w:spacing w:line="360" w:lineRule="auto"/>
        <w:ind w:firstLine="420" w:firstLineChars="200"/>
        <w:jc w:val="left"/>
        <w:rPr>
          <w:rFonts w:ascii="Times New Roman" w:hAnsi="Times New Roman" w:cs="Times New Roman"/>
          <w:color w:val="000000"/>
          <w:szCs w:val="21"/>
        </w:rPr>
      </w:pPr>
      <w:r>
        <w:rPr>
          <w:rFonts w:ascii="Times New Roman" w:hAnsi="Times New Roman" w:cs="Times New Roman"/>
          <w:color w:val="000000"/>
          <w:szCs w:val="21"/>
        </w:rPr>
        <w:t>本次抽查检验项目和检验方法依据见表1。</w:t>
      </w:r>
    </w:p>
    <w:p>
      <w:pPr>
        <w:adjustRightInd w:val="0"/>
        <w:snapToGrid w:val="0"/>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表1</w:t>
      </w:r>
      <w:r>
        <w:rPr>
          <w:rFonts w:hint="eastAsia" w:ascii="Times New Roman" w:hAnsi="Times New Roman" w:cs="Times New Roman"/>
          <w:color w:val="000000"/>
          <w:szCs w:val="21"/>
        </w:rPr>
        <w:t>抽查</w:t>
      </w:r>
      <w:r>
        <w:rPr>
          <w:rFonts w:ascii="Times New Roman" w:hAnsi="Times New Roman" w:cs="Times New Roman"/>
          <w:color w:val="000000"/>
          <w:szCs w:val="21"/>
        </w:rPr>
        <w:t>检验项目</w:t>
      </w:r>
    </w:p>
    <w:tbl>
      <w:tblPr>
        <w:tblStyle w:val="6"/>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733"/>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94" w:type="dxa"/>
            <w:vMerge w:val="restart"/>
            <w:vAlign w:val="center"/>
          </w:tcPr>
          <w:p>
            <w:pPr>
              <w:jc w:val="center"/>
              <w:rPr>
                <w:rFonts w:hint="eastAsia"/>
                <w:lang w:val="en-US" w:eastAsia="zh-Hans"/>
              </w:rPr>
            </w:pPr>
            <w:r>
              <w:rPr>
                <w:rFonts w:hint="eastAsia"/>
                <w:lang w:val="en-US" w:eastAsia="zh-Hans"/>
              </w:rPr>
              <w:t>序号</w:t>
            </w:r>
          </w:p>
        </w:tc>
        <w:tc>
          <w:tcPr>
            <w:tcW w:w="2733" w:type="dxa"/>
            <w:vMerge w:val="restart"/>
            <w:vAlign w:val="center"/>
          </w:tcPr>
          <w:p>
            <w:pPr>
              <w:jc w:val="center"/>
              <w:rPr>
                <w:rFonts w:hint="eastAsia"/>
                <w:lang w:val="en-US" w:eastAsia="zh-Hans"/>
              </w:rPr>
            </w:pPr>
            <w:r>
              <w:rPr>
                <w:rFonts w:hint="eastAsia"/>
                <w:lang w:val="en-US" w:eastAsia="zh-Hans"/>
              </w:rPr>
              <w:t>检验项目</w:t>
            </w:r>
          </w:p>
        </w:tc>
        <w:tc>
          <w:tcPr>
            <w:tcW w:w="6260" w:type="dxa"/>
            <w:vMerge w:val="restart"/>
            <w:vAlign w:val="center"/>
          </w:tcPr>
          <w:p>
            <w:pPr>
              <w:jc w:val="center"/>
              <w:rPr>
                <w:rFonts w:hint="eastAsia"/>
                <w:lang w:val="en-US" w:eastAsia="zh-Hans"/>
              </w:rPr>
            </w:pPr>
            <w:r>
              <w:rPr>
                <w:rFonts w:hint="eastAsia"/>
                <w:lang w:val="en-US" w:eastAsia="zh-Hans"/>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94" w:type="dxa"/>
            <w:vMerge w:val="continue"/>
            <w:vAlign w:val="center"/>
          </w:tcPr>
          <w:p>
            <w:pPr>
              <w:jc w:val="center"/>
              <w:rPr>
                <w:rFonts w:hint="eastAsia"/>
                <w:lang w:val="en-US" w:eastAsia="zh-Hans"/>
              </w:rPr>
            </w:pPr>
          </w:p>
        </w:tc>
        <w:tc>
          <w:tcPr>
            <w:tcW w:w="2733" w:type="dxa"/>
            <w:vMerge w:val="continue"/>
            <w:vAlign w:val="center"/>
          </w:tcPr>
          <w:p>
            <w:pPr>
              <w:jc w:val="center"/>
              <w:rPr>
                <w:rFonts w:hint="eastAsia"/>
                <w:lang w:val="en-US" w:eastAsia="zh-Hans"/>
              </w:rPr>
            </w:pPr>
          </w:p>
        </w:tc>
        <w:tc>
          <w:tcPr>
            <w:tcW w:w="6260" w:type="dxa"/>
            <w:vMerge w:val="continue"/>
            <w:vAlign w:val="center"/>
          </w:tcPr>
          <w:p>
            <w:pPr>
              <w:jc w:val="center"/>
              <w:rPr>
                <w:rFonts w:hint="eastAsia"/>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9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1</w:t>
            </w:r>
          </w:p>
        </w:tc>
        <w:tc>
          <w:tcPr>
            <w:tcW w:w="2733" w:type="dxa"/>
            <w:vAlign w:val="center"/>
          </w:tcPr>
          <w:p>
            <w:pPr>
              <w:jc w:val="center"/>
              <w:rPr>
                <w:rFonts w:hint="eastAsia" w:ascii="Times New Roman" w:hAnsi="Times New Roman" w:cs="Times New Roman"/>
                <w:lang w:val="en-US" w:eastAsia="zh-CN"/>
              </w:rPr>
            </w:pPr>
            <w:r>
              <w:rPr>
                <w:rFonts w:hint="eastAsia" w:ascii="Times New Roman" w:hAnsi="Times New Roman" w:cs="Times New Roman"/>
                <w:lang w:val="en-US" w:eastAsia="zh-Hans"/>
              </w:rPr>
              <w:t>外观检查</w:t>
            </w:r>
          </w:p>
        </w:tc>
        <w:tc>
          <w:tcPr>
            <w:tcW w:w="6260" w:type="dxa"/>
            <w:vAlign w:val="center"/>
          </w:tcPr>
          <w:p>
            <w:pPr>
              <w:snapToGrid w:val="0"/>
              <w:jc w:val="center"/>
              <w:rPr>
                <w:rFonts w:hAnsi="仿宋_GB2312"/>
                <w:szCs w:val="32"/>
              </w:rPr>
            </w:pPr>
            <w:r>
              <w:rPr>
                <w:rFonts w:hint="eastAsia" w:hAnsi="仿宋_GB2312"/>
                <w:szCs w:val="32"/>
              </w:rPr>
              <w:t>GB/T 778.</w:t>
            </w:r>
            <w:r>
              <w:rPr>
                <w:rFonts w:hint="eastAsia" w:hAnsi="仿宋_GB2312"/>
                <w:szCs w:val="32"/>
                <w:lang w:val="en-US" w:eastAsia="zh-CN"/>
              </w:rPr>
              <w:t>2</w:t>
            </w:r>
            <w:r>
              <w:rPr>
                <w:rFonts w:hint="eastAsia" w:hAnsi="仿宋_GB2312"/>
                <w:szCs w:val="32"/>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69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2</w:t>
            </w:r>
          </w:p>
        </w:tc>
        <w:tc>
          <w:tcPr>
            <w:tcW w:w="2733" w:type="dxa"/>
            <w:vAlign w:val="center"/>
          </w:tcPr>
          <w:p>
            <w:pPr>
              <w:jc w:val="center"/>
              <w:rPr>
                <w:rFonts w:hint="eastAsia"/>
              </w:rPr>
            </w:pPr>
            <w:r>
              <w:rPr>
                <w:rFonts w:hint="eastAsia"/>
                <w:lang w:val="en-US" w:eastAsia="zh-CN"/>
              </w:rPr>
              <w:t>静压试验</w:t>
            </w:r>
          </w:p>
        </w:tc>
        <w:tc>
          <w:tcPr>
            <w:tcW w:w="6260" w:type="dxa"/>
            <w:vAlign w:val="center"/>
          </w:tcPr>
          <w:p>
            <w:pPr>
              <w:snapToGrid w:val="0"/>
              <w:jc w:val="center"/>
              <w:rPr>
                <w:rFonts w:hAnsi="仿宋_GB2312"/>
                <w:szCs w:val="32"/>
              </w:rPr>
            </w:pPr>
            <w:r>
              <w:rPr>
                <w:rFonts w:hint="eastAsia" w:hAnsi="仿宋_GB2312"/>
                <w:szCs w:val="32"/>
              </w:rPr>
              <w:t>GB/T 778.2-2018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69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c>
          <w:tcPr>
            <w:tcW w:w="2733" w:type="dxa"/>
            <w:vAlign w:val="center"/>
          </w:tcPr>
          <w:p>
            <w:pPr>
              <w:jc w:val="center"/>
              <w:rPr>
                <w:rFonts w:hint="eastAsia"/>
              </w:rPr>
            </w:pPr>
            <w:r>
              <w:rPr>
                <w:rFonts w:hint="eastAsia"/>
                <w:lang w:val="en-US" w:eastAsia="zh-CN"/>
              </w:rPr>
              <w:t>示值误差</w:t>
            </w:r>
          </w:p>
        </w:tc>
        <w:tc>
          <w:tcPr>
            <w:tcW w:w="6260" w:type="dxa"/>
            <w:vAlign w:val="center"/>
          </w:tcPr>
          <w:p>
            <w:pPr>
              <w:snapToGrid w:val="0"/>
              <w:jc w:val="center"/>
              <w:rPr>
                <w:rFonts w:hAnsi="仿宋_GB2312"/>
                <w:szCs w:val="32"/>
              </w:rPr>
            </w:pPr>
            <w:r>
              <w:rPr>
                <w:rFonts w:hint="eastAsia" w:hAnsi="仿宋_GB2312"/>
                <w:szCs w:val="32"/>
              </w:rPr>
              <w:t>GB/T 778.2-2018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694" w:type="dxa"/>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4</w:t>
            </w:r>
          </w:p>
        </w:tc>
        <w:tc>
          <w:tcPr>
            <w:tcW w:w="2733" w:type="dxa"/>
            <w:vAlign w:val="center"/>
          </w:tcPr>
          <w:p>
            <w:pPr>
              <w:jc w:val="center"/>
              <w:rPr>
                <w:rFonts w:hint="eastAsia"/>
              </w:rPr>
            </w:pPr>
            <w:r>
              <w:rPr>
                <w:rFonts w:hint="eastAsia"/>
                <w:lang w:val="en-US" w:eastAsia="zh-CN"/>
              </w:rPr>
              <w:t>压力损失</w:t>
            </w:r>
          </w:p>
        </w:tc>
        <w:tc>
          <w:tcPr>
            <w:tcW w:w="6260" w:type="dxa"/>
            <w:vAlign w:val="center"/>
          </w:tcPr>
          <w:p>
            <w:pPr>
              <w:snapToGrid w:val="0"/>
              <w:jc w:val="center"/>
              <w:rPr>
                <w:rFonts w:hAnsi="仿宋_GB2312"/>
                <w:szCs w:val="32"/>
              </w:rPr>
            </w:pPr>
            <w:r>
              <w:rPr>
                <w:rFonts w:hint="eastAsia" w:hAnsi="仿宋_GB2312"/>
                <w:szCs w:val="32"/>
              </w:rPr>
              <w:t>GB/T 778.2-2018</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20" w:firstLineChars="200"/>
        <w:textAlignment w:val="auto"/>
        <w:rPr>
          <w:rFonts w:hint="eastAsia"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eastAsia="黑体"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hAnsi="宋体" w:eastAsia="宋体" w:cs="宋体"/>
          <w:szCs w:val="21"/>
        </w:rPr>
      </w:pPr>
      <w:r>
        <w:rPr>
          <w:rFonts w:hint="eastAsia" w:hAnsi="宋体" w:eastAsia="宋体" w:cs="宋体"/>
          <w:szCs w:val="21"/>
        </w:rPr>
        <w:t>GB/T 778.2-2018《饮用冷水水表和热水水表 第2部分：试验方法》</w:t>
      </w:r>
    </w:p>
    <w:p>
      <w:pPr>
        <w:adjustRightInd w:val="0"/>
        <w:snapToGrid w:val="0"/>
        <w:spacing w:line="360" w:lineRule="auto"/>
        <w:ind w:firstLine="417" w:firstLineChars="199"/>
        <w:rPr>
          <w:rFonts w:ascii="Times New Roman" w:hAnsi="Times New Roman" w:cs="Times New Roman"/>
          <w:color w:val="000000"/>
          <w:szCs w:val="21"/>
        </w:rPr>
      </w:pPr>
      <w:r>
        <w:rPr>
          <w:rFonts w:ascii="Times New Roman" w:hAnsi="Times New Roman" w:cs="Times New Roman"/>
          <w:color w:val="000000"/>
          <w:szCs w:val="21"/>
        </w:rPr>
        <w:t>相关的法律、行政法规、部门规章、规范性文件</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adjustRightInd w:val="0"/>
        <w:snapToGrid w:val="0"/>
        <w:spacing w:line="360" w:lineRule="auto"/>
        <w:ind w:firstLine="417" w:firstLineChars="199"/>
        <w:rPr>
          <w:rFonts w:ascii="Times New Roman" w:hAnsi="Times New Roman" w:cs="Times New Roman"/>
          <w:color w:val="FF0000"/>
          <w:szCs w:val="21"/>
        </w:rPr>
      </w:pPr>
      <w:r>
        <w:rPr>
          <w:rFonts w:hint="eastAsia" w:ascii="Times New Roman" w:hAnsi="Times New Roman" w:cs="Times New Roman"/>
          <w:color w:val="000000"/>
          <w:szCs w:val="21"/>
        </w:rPr>
        <w:t>经检验，检验项目全部</w:t>
      </w:r>
      <w:r>
        <w:rPr>
          <w:rFonts w:hint="eastAsia" w:ascii="Times New Roman" w:hAnsi="Times New Roman" w:cs="Times New Roman"/>
          <w:color w:val="000000"/>
          <w:szCs w:val="21"/>
          <w:lang w:val="en-US" w:eastAsia="zh-CN"/>
        </w:rPr>
        <w:t>合格</w:t>
      </w:r>
      <w:r>
        <w:rPr>
          <w:rFonts w:hint="eastAsia" w:ascii="Times New Roman" w:hAnsi="Times New Roman" w:cs="Times New Roman"/>
          <w:color w:val="000000"/>
          <w:szCs w:val="21"/>
        </w:rPr>
        <w:t>，判定为被抽查产品</w:t>
      </w:r>
      <w:r>
        <w:rPr>
          <w:rFonts w:hint="eastAsia" w:ascii="Times New Roman" w:hAnsi="Times New Roman" w:cs="Times New Roman"/>
          <w:color w:val="000000"/>
          <w:szCs w:val="21"/>
          <w:lang w:val="en-US" w:eastAsia="zh-CN"/>
        </w:rPr>
        <w:t>所检项目</w:t>
      </w:r>
      <w:r>
        <w:rPr>
          <w:rFonts w:hint="eastAsia" w:ascii="Times New Roman" w:hAnsi="Times New Roman" w:cs="Times New Roman"/>
          <w:color w:val="000000"/>
          <w:szCs w:val="21"/>
        </w:rPr>
        <w:t>未发现不合格；检验项目中任一项或一项以上不合格，判定为被抽查产品不合格。</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若被检产品明示的质量要求低于或包含本细则中检验项目依据的推荐性标准要求时，应以被检产品明示的质量要求判定，但应在检验报告备注中进行说明。</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若被检产品明示的质量要求缺少本细则中检验项目依据的推荐性标准要求时，该项目不参与判定。</w:t>
      </w:r>
    </w:p>
    <w:p>
      <w:pPr>
        <w:adjustRightInd w:val="0"/>
        <w:snapToGrid w:val="0"/>
        <w:spacing w:line="360" w:lineRule="auto"/>
        <w:rPr>
          <w:rFonts w:ascii="Times New Roman" w:hAnsi="Times New Roman" w:cs="Times New Roman"/>
          <w:color w:val="000000"/>
          <w:szCs w:val="21"/>
        </w:rPr>
      </w:pPr>
      <w:bookmarkStart w:id="0" w:name="_GoBack"/>
      <w:bookmarkEnd w:id="0"/>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32026"/>
    <w:rsid w:val="00081C2D"/>
    <w:rsid w:val="0008535D"/>
    <w:rsid w:val="000E1E29"/>
    <w:rsid w:val="000E281C"/>
    <w:rsid w:val="00106A7B"/>
    <w:rsid w:val="00113B3A"/>
    <w:rsid w:val="001279DA"/>
    <w:rsid w:val="00152D11"/>
    <w:rsid w:val="001C331D"/>
    <w:rsid w:val="001E1710"/>
    <w:rsid w:val="00201D77"/>
    <w:rsid w:val="00207C46"/>
    <w:rsid w:val="002520AA"/>
    <w:rsid w:val="00353558"/>
    <w:rsid w:val="005036BD"/>
    <w:rsid w:val="005C1BB0"/>
    <w:rsid w:val="00643369"/>
    <w:rsid w:val="006B167C"/>
    <w:rsid w:val="006E2820"/>
    <w:rsid w:val="00703683"/>
    <w:rsid w:val="00731E10"/>
    <w:rsid w:val="00735D54"/>
    <w:rsid w:val="007458B8"/>
    <w:rsid w:val="00751D7F"/>
    <w:rsid w:val="007F1EEC"/>
    <w:rsid w:val="007F6979"/>
    <w:rsid w:val="00804AD0"/>
    <w:rsid w:val="00812681"/>
    <w:rsid w:val="008126AD"/>
    <w:rsid w:val="00842D6D"/>
    <w:rsid w:val="00862220"/>
    <w:rsid w:val="008936F5"/>
    <w:rsid w:val="008B3904"/>
    <w:rsid w:val="008C0D87"/>
    <w:rsid w:val="00900FD5"/>
    <w:rsid w:val="00936F06"/>
    <w:rsid w:val="009515F2"/>
    <w:rsid w:val="009A4EC3"/>
    <w:rsid w:val="00A036E3"/>
    <w:rsid w:val="00A75F3F"/>
    <w:rsid w:val="00AD0881"/>
    <w:rsid w:val="00AD3EF1"/>
    <w:rsid w:val="00AD53D5"/>
    <w:rsid w:val="00AF2B02"/>
    <w:rsid w:val="00B36B17"/>
    <w:rsid w:val="00CD736E"/>
    <w:rsid w:val="00CE42A4"/>
    <w:rsid w:val="00D21A5D"/>
    <w:rsid w:val="00D30E86"/>
    <w:rsid w:val="00E77375"/>
    <w:rsid w:val="00EE08E1"/>
    <w:rsid w:val="059D2279"/>
    <w:rsid w:val="09922312"/>
    <w:rsid w:val="0A3674D8"/>
    <w:rsid w:val="0E555245"/>
    <w:rsid w:val="16CE5139"/>
    <w:rsid w:val="18866995"/>
    <w:rsid w:val="1BA820C1"/>
    <w:rsid w:val="1CFA40C7"/>
    <w:rsid w:val="1FD02B74"/>
    <w:rsid w:val="26204F93"/>
    <w:rsid w:val="279777BC"/>
    <w:rsid w:val="2D9D4F01"/>
    <w:rsid w:val="30A56294"/>
    <w:rsid w:val="360C4755"/>
    <w:rsid w:val="3663507B"/>
    <w:rsid w:val="36CE2DB3"/>
    <w:rsid w:val="397E01CB"/>
    <w:rsid w:val="3C626DF3"/>
    <w:rsid w:val="404B7B55"/>
    <w:rsid w:val="43063C9A"/>
    <w:rsid w:val="44B158FB"/>
    <w:rsid w:val="49DC72CD"/>
    <w:rsid w:val="4A214371"/>
    <w:rsid w:val="4B7244CB"/>
    <w:rsid w:val="4D0335BD"/>
    <w:rsid w:val="4F50559F"/>
    <w:rsid w:val="513F44A1"/>
    <w:rsid w:val="515E5734"/>
    <w:rsid w:val="519958C8"/>
    <w:rsid w:val="53C539EF"/>
    <w:rsid w:val="5463518E"/>
    <w:rsid w:val="58B0714F"/>
    <w:rsid w:val="597F8364"/>
    <w:rsid w:val="5C05317C"/>
    <w:rsid w:val="5C583F15"/>
    <w:rsid w:val="5D2B5D22"/>
    <w:rsid w:val="5DB85E94"/>
    <w:rsid w:val="5FC6FC22"/>
    <w:rsid w:val="623B46A6"/>
    <w:rsid w:val="674F75F2"/>
    <w:rsid w:val="68681035"/>
    <w:rsid w:val="6A5A4E2A"/>
    <w:rsid w:val="71017ADB"/>
    <w:rsid w:val="711243B5"/>
    <w:rsid w:val="71F57208"/>
    <w:rsid w:val="73CC7379"/>
    <w:rsid w:val="75F79382"/>
    <w:rsid w:val="766052CC"/>
    <w:rsid w:val="772608DB"/>
    <w:rsid w:val="78431D5D"/>
    <w:rsid w:val="786926B1"/>
    <w:rsid w:val="78FA2B6F"/>
    <w:rsid w:val="7B9967F3"/>
    <w:rsid w:val="DBFF7AED"/>
    <w:rsid w:val="E8EB0F85"/>
    <w:rsid w:val="F7FB704C"/>
    <w:rsid w:val="FEFF6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szCs w:val="20"/>
    </w:rPr>
  </w:style>
  <w:style w:type="paragraph" w:styleId="3">
    <w:name w:val="Balloon Text"/>
    <w:basedOn w:val="1"/>
    <w:link w:val="12"/>
    <w:autoRedefine/>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unhideWhenUsed/>
    <w:qFormat/>
    <w:uiPriority w:val="99"/>
    <w:rPr>
      <w:color w:val="0000FF"/>
      <w:u w:val="single"/>
    </w:rPr>
  </w:style>
  <w:style w:type="character" w:customStyle="1" w:styleId="10">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1">
    <w:name w:val="页脚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批注框文本 Char"/>
    <w:basedOn w:val="8"/>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1011</Words>
  <Characters>1114</Characters>
  <Lines>302</Lines>
  <Paragraphs>246</Paragraphs>
  <TotalTime>0</TotalTime>
  <ScaleCrop>false</ScaleCrop>
  <LinksUpToDate>false</LinksUpToDate>
  <CharactersWithSpaces>1129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2020-03-25T18:48:00Z</dcterms:created>
  <dc:creator>JS</dc:creator>
  <cp:lastModifiedBy>Nyy</cp:lastModifiedBy>
  <dcterms:modified xsi:type="dcterms:W3CDTF">2024-04-18T08:22:52Z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79695B3F70DF4E5887935C47BEE4AA94</vt:lpwstr>
  </property>
</Properties>
</file>