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广州市市场监督管理局成品油</w:t>
      </w:r>
      <w:r>
        <w:rPr>
          <w:rFonts w:ascii="Times New Roman" w:hAnsi="Times New Roman" w:eastAsia="方正小标宋简体" w:cs="Times New Roman"/>
          <w:color w:val="000000"/>
          <w:sz w:val="32"/>
          <w:szCs w:val="32"/>
        </w:rPr>
        <w:t>产品</w:t>
      </w:r>
      <w:r>
        <w:rPr>
          <w:rFonts w:hint="eastAsia" w:ascii="Times New Roman" w:hAnsi="Times New Roman" w:eastAsia="方正小标宋简体" w:cs="Times New Roman"/>
          <w:color w:val="000000"/>
          <w:sz w:val="32"/>
          <w:szCs w:val="32"/>
        </w:rPr>
        <w:t>快速检测</w:t>
      </w:r>
      <w:r>
        <w:rPr>
          <w:rFonts w:ascii="Times New Roman" w:hAnsi="Times New Roman" w:eastAsia="方正小标宋简体" w:cs="Times New Roman"/>
          <w:color w:val="000000"/>
          <w:sz w:val="32"/>
          <w:szCs w:val="32"/>
        </w:rPr>
        <w:t>实施细则</w:t>
      </w:r>
    </w:p>
    <w:p>
      <w:pPr>
        <w:adjustRightInd w:val="0"/>
        <w:snapToGrid w:val="0"/>
        <w:spacing w:line="360" w:lineRule="auto"/>
        <w:rPr>
          <w:rFonts w:ascii="Times New Roman" w:hAnsi="Times New Roman" w:eastAsia="黑体" w:cs="Times New Roman"/>
          <w:szCs w:val="21"/>
        </w:rPr>
      </w:pP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spacing w:line="440" w:lineRule="exact"/>
        <w:ind w:firstLine="420" w:firstLineChars="200"/>
        <w:rPr>
          <w:szCs w:val="21"/>
        </w:rPr>
      </w:pPr>
      <w:r>
        <w:rPr>
          <w:szCs w:val="21"/>
        </w:rPr>
        <w:t>以随机抽样的方式在被抽样生产者、销售者的待销产品中抽取。</w:t>
      </w:r>
    </w:p>
    <w:p>
      <w:pPr>
        <w:spacing w:line="440" w:lineRule="exact"/>
        <w:ind w:firstLine="420" w:firstLineChars="200"/>
        <w:rPr>
          <w:szCs w:val="21"/>
        </w:rPr>
      </w:pPr>
      <w:r>
        <w:rPr>
          <w:szCs w:val="21"/>
        </w:rPr>
        <w:t>随机数一般可使用随机数表等方法产生。</w:t>
      </w:r>
      <w:bookmarkStart w:id="0" w:name="_GoBack"/>
      <w:bookmarkEnd w:id="0"/>
    </w:p>
    <w:p>
      <w:pPr>
        <w:snapToGrid w:val="0"/>
        <w:spacing w:line="440" w:lineRule="exact"/>
        <w:ind w:firstLine="420" w:firstLineChars="200"/>
        <w:rPr>
          <w:szCs w:val="21"/>
        </w:rPr>
      </w:pPr>
      <w:r>
        <w:rPr>
          <w:rFonts w:hint="eastAsia"/>
          <w:szCs w:val="21"/>
        </w:rPr>
        <w:t>抽查数量：每款产品抽取1组样本，每组样品量不少于300mL。</w:t>
      </w:r>
    </w:p>
    <w:p>
      <w:pPr>
        <w:snapToGrid w:val="0"/>
        <w:spacing w:line="440" w:lineRule="exact"/>
        <w:ind w:firstLine="420" w:firstLineChars="200"/>
        <w:rPr>
          <w:szCs w:val="21"/>
        </w:rPr>
      </w:pPr>
      <w:r>
        <w:rPr>
          <w:rFonts w:hint="eastAsia"/>
          <w:szCs w:val="21"/>
        </w:rPr>
        <w:t>具体抽样数量和方法如下：在生产企业（油库）抽样时，按GB/T 4756-2015《石油液体手工取样法》规定的方法抽取样本；在加油站或燃油供应船舶或燃油供应车辆抽样时，直接在加油机加油枪或加油管出口处（或取样处）随机抽取样本。抽取样本前，通过油枪或油管将至少4L油品放出，清洗加油管，避免加油管污染样品，同时清洗取样容器至少3次。</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p>
      <w:pPr>
        <w:adjustRightInd w:val="0"/>
        <w:snapToGrid w:val="0"/>
        <w:rPr>
          <w:rFonts w:cs="Times New Roman" w:asciiTheme="minorEastAsia" w:hAnsiTheme="minorEastAsia"/>
          <w:color w:val="000000"/>
          <w:szCs w:val="21"/>
        </w:rPr>
      </w:pPr>
      <w:r>
        <w:rPr>
          <w:rFonts w:hint="eastAsia" w:cs="Times New Roman" w:asciiTheme="minorEastAsia" w:hAnsiTheme="minorEastAsia"/>
          <w:color w:val="000000"/>
          <w:szCs w:val="21"/>
        </w:rPr>
        <w:t>1、车用汽油</w:t>
      </w:r>
    </w:p>
    <w:tbl>
      <w:tblPr>
        <w:tblStyle w:val="6"/>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718"/>
        <w:gridCol w:w="4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序号</w:t>
            </w:r>
          </w:p>
        </w:tc>
        <w:tc>
          <w:tcPr>
            <w:tcW w:w="4718"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检验项目</w:t>
            </w:r>
          </w:p>
        </w:tc>
        <w:tc>
          <w:tcPr>
            <w:tcW w:w="4275"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1</w:t>
            </w:r>
          </w:p>
        </w:tc>
        <w:tc>
          <w:tcPr>
            <w:tcW w:w="4718" w:type="dxa"/>
            <w:vAlign w:val="center"/>
          </w:tcPr>
          <w:p>
            <w:pPr>
              <w:widowControl/>
              <w:jc w:val="center"/>
              <w:textAlignment w:val="center"/>
              <w:rPr>
                <w:kern w:val="0"/>
                <w:szCs w:val="21"/>
                <w:lang w:bidi="ar"/>
              </w:rPr>
            </w:pPr>
            <w:r>
              <w:rPr>
                <w:kern w:val="0"/>
                <w:szCs w:val="21"/>
                <w:lang w:bidi="ar"/>
              </w:rPr>
              <w:t>研究法辛烷值</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2</w:t>
            </w:r>
          </w:p>
        </w:tc>
        <w:tc>
          <w:tcPr>
            <w:tcW w:w="4718" w:type="dxa"/>
            <w:vAlign w:val="center"/>
          </w:tcPr>
          <w:p>
            <w:pPr>
              <w:widowControl/>
              <w:jc w:val="center"/>
              <w:textAlignment w:val="center"/>
              <w:rPr>
                <w:kern w:val="0"/>
                <w:szCs w:val="21"/>
                <w:lang w:bidi="ar"/>
              </w:rPr>
            </w:pPr>
            <w:r>
              <w:rPr>
                <w:kern w:val="0"/>
                <w:szCs w:val="21"/>
                <w:lang w:bidi="ar"/>
              </w:rPr>
              <w:t>抗爆指数</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3</w:t>
            </w:r>
          </w:p>
        </w:tc>
        <w:tc>
          <w:tcPr>
            <w:tcW w:w="4718" w:type="dxa"/>
            <w:vAlign w:val="center"/>
          </w:tcPr>
          <w:p>
            <w:pPr>
              <w:widowControl/>
              <w:jc w:val="center"/>
              <w:textAlignment w:val="center"/>
              <w:rPr>
                <w:kern w:val="0"/>
                <w:szCs w:val="21"/>
                <w:lang w:bidi="ar"/>
              </w:rPr>
            </w:pPr>
            <w:r>
              <w:rPr>
                <w:kern w:val="0"/>
                <w:szCs w:val="21"/>
                <w:lang w:bidi="ar"/>
              </w:rPr>
              <w:t>硫含量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X射线荧光光谱法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4</w:t>
            </w:r>
          </w:p>
        </w:tc>
        <w:tc>
          <w:tcPr>
            <w:tcW w:w="4718" w:type="dxa"/>
            <w:vAlign w:val="center"/>
          </w:tcPr>
          <w:p>
            <w:pPr>
              <w:widowControl/>
              <w:jc w:val="center"/>
              <w:textAlignment w:val="center"/>
              <w:rPr>
                <w:kern w:val="0"/>
                <w:szCs w:val="21"/>
                <w:lang w:bidi="ar"/>
              </w:rPr>
            </w:pPr>
            <w:r>
              <w:rPr>
                <w:kern w:val="0"/>
                <w:szCs w:val="21"/>
                <w:lang w:bidi="ar"/>
              </w:rPr>
              <w:t>机械杂质及水分</w:t>
            </w:r>
          </w:p>
        </w:tc>
        <w:tc>
          <w:tcPr>
            <w:tcW w:w="4275" w:type="dxa"/>
            <w:vAlign w:val="center"/>
          </w:tcPr>
          <w:p>
            <w:pPr>
              <w:jc w:val="center"/>
              <w:rPr>
                <w:rFonts w:asciiTheme="minorEastAsia" w:hAnsiTheme="minorEastAsia"/>
                <w:szCs w:val="21"/>
              </w:rPr>
            </w:pPr>
            <w:r>
              <w:rPr>
                <w:rFonts w:hint="eastAsia" w:asciiTheme="minorEastAsia" w:hAnsiTheme="minorEastAsia"/>
                <w:szCs w:val="21"/>
              </w:rPr>
              <w:t>目视法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5</w:t>
            </w:r>
          </w:p>
        </w:tc>
        <w:tc>
          <w:tcPr>
            <w:tcW w:w="4718" w:type="dxa"/>
            <w:vAlign w:val="center"/>
          </w:tcPr>
          <w:p>
            <w:pPr>
              <w:widowControl/>
              <w:jc w:val="center"/>
              <w:textAlignment w:val="center"/>
              <w:rPr>
                <w:kern w:val="0"/>
                <w:szCs w:val="21"/>
                <w:lang w:bidi="ar"/>
              </w:rPr>
            </w:pPr>
            <w:r>
              <w:rPr>
                <w:kern w:val="0"/>
                <w:szCs w:val="21"/>
                <w:lang w:bidi="ar"/>
              </w:rPr>
              <w:t>苯含量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6</w:t>
            </w:r>
          </w:p>
        </w:tc>
        <w:tc>
          <w:tcPr>
            <w:tcW w:w="4718" w:type="dxa"/>
            <w:vAlign w:val="center"/>
          </w:tcPr>
          <w:p>
            <w:pPr>
              <w:widowControl/>
              <w:jc w:val="center"/>
              <w:textAlignment w:val="center"/>
              <w:rPr>
                <w:kern w:val="0"/>
                <w:szCs w:val="21"/>
                <w:lang w:bidi="ar"/>
              </w:rPr>
            </w:pPr>
            <w:r>
              <w:rPr>
                <w:kern w:val="0"/>
                <w:szCs w:val="21"/>
                <w:lang w:bidi="ar"/>
              </w:rPr>
              <w:t>芳烃含量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7</w:t>
            </w:r>
          </w:p>
        </w:tc>
        <w:tc>
          <w:tcPr>
            <w:tcW w:w="4718" w:type="dxa"/>
            <w:vAlign w:val="center"/>
          </w:tcPr>
          <w:p>
            <w:pPr>
              <w:widowControl/>
              <w:jc w:val="center"/>
              <w:textAlignment w:val="center"/>
              <w:rPr>
                <w:kern w:val="0"/>
                <w:szCs w:val="21"/>
                <w:lang w:bidi="ar"/>
              </w:rPr>
            </w:pPr>
            <w:r>
              <w:rPr>
                <w:kern w:val="0"/>
                <w:szCs w:val="21"/>
                <w:lang w:bidi="ar"/>
              </w:rPr>
              <w:t>烯烃含量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8</w:t>
            </w:r>
          </w:p>
        </w:tc>
        <w:tc>
          <w:tcPr>
            <w:tcW w:w="4718" w:type="dxa"/>
            <w:vAlign w:val="center"/>
          </w:tcPr>
          <w:p>
            <w:pPr>
              <w:widowControl/>
              <w:jc w:val="center"/>
              <w:textAlignment w:val="center"/>
              <w:rPr>
                <w:kern w:val="0"/>
                <w:szCs w:val="21"/>
                <w:lang w:bidi="ar"/>
              </w:rPr>
            </w:pPr>
            <w:r>
              <w:rPr>
                <w:kern w:val="0"/>
                <w:szCs w:val="21"/>
                <w:lang w:bidi="ar"/>
              </w:rPr>
              <w:t>氧含量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0006-2022</w:t>
            </w:r>
          </w:p>
        </w:tc>
      </w:tr>
    </w:tbl>
    <w:p>
      <w:pPr>
        <w:adjustRightInd w:val="0"/>
        <w:snapToGrid w:val="0"/>
        <w:rPr>
          <w:rFonts w:cs="Times New Roman" w:asciiTheme="minorEastAsia" w:hAnsiTheme="minorEastAsia"/>
          <w:color w:val="000000"/>
          <w:szCs w:val="21"/>
        </w:rPr>
      </w:pPr>
      <w:r>
        <w:rPr>
          <w:rFonts w:cs="Times New Roman" w:asciiTheme="minorEastAsia" w:hAnsiTheme="minorEastAsia"/>
          <w:color w:val="000000"/>
          <w:szCs w:val="21"/>
        </w:rPr>
        <w:t>2</w:t>
      </w:r>
      <w:r>
        <w:rPr>
          <w:rFonts w:hint="eastAsia" w:cs="Times New Roman" w:asciiTheme="minorEastAsia" w:hAnsiTheme="minorEastAsia"/>
          <w:color w:val="000000"/>
          <w:szCs w:val="21"/>
        </w:rPr>
        <w:t>、车用柴油</w:t>
      </w:r>
    </w:p>
    <w:tbl>
      <w:tblPr>
        <w:tblStyle w:val="6"/>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718"/>
        <w:gridCol w:w="4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序号</w:t>
            </w:r>
          </w:p>
        </w:tc>
        <w:tc>
          <w:tcPr>
            <w:tcW w:w="4718"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检验项目</w:t>
            </w:r>
          </w:p>
        </w:tc>
        <w:tc>
          <w:tcPr>
            <w:tcW w:w="4275"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1</w:t>
            </w:r>
          </w:p>
        </w:tc>
        <w:tc>
          <w:tcPr>
            <w:tcW w:w="4718" w:type="dxa"/>
            <w:vAlign w:val="center"/>
          </w:tcPr>
          <w:p>
            <w:pPr>
              <w:widowControl/>
              <w:jc w:val="center"/>
              <w:textAlignment w:val="center"/>
              <w:rPr>
                <w:kern w:val="0"/>
                <w:szCs w:val="21"/>
                <w:lang w:bidi="ar"/>
              </w:rPr>
            </w:pPr>
            <w:r>
              <w:rPr>
                <w:kern w:val="0"/>
                <w:szCs w:val="21"/>
                <w:lang w:bidi="ar"/>
              </w:rPr>
              <w:t>硫含量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X射线荧光光谱法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2</w:t>
            </w:r>
          </w:p>
        </w:tc>
        <w:tc>
          <w:tcPr>
            <w:tcW w:w="4718" w:type="dxa"/>
            <w:vAlign w:val="center"/>
          </w:tcPr>
          <w:p>
            <w:pPr>
              <w:widowControl/>
              <w:jc w:val="center"/>
              <w:textAlignment w:val="center"/>
              <w:rPr>
                <w:kern w:val="0"/>
                <w:szCs w:val="21"/>
                <w:lang w:bidi="ar"/>
              </w:rPr>
            </w:pPr>
            <w:r>
              <w:rPr>
                <w:kern w:val="0"/>
                <w:szCs w:val="21"/>
                <w:lang w:bidi="ar"/>
              </w:rPr>
              <w:t>水含量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目视法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3</w:t>
            </w:r>
          </w:p>
        </w:tc>
        <w:tc>
          <w:tcPr>
            <w:tcW w:w="4718" w:type="dxa"/>
            <w:vAlign w:val="center"/>
          </w:tcPr>
          <w:p>
            <w:pPr>
              <w:widowControl/>
              <w:jc w:val="center"/>
              <w:textAlignment w:val="center"/>
              <w:rPr>
                <w:kern w:val="0"/>
                <w:szCs w:val="21"/>
                <w:lang w:bidi="ar"/>
              </w:rPr>
            </w:pPr>
            <w:r>
              <w:rPr>
                <w:kern w:val="0"/>
                <w:szCs w:val="21"/>
                <w:lang w:bidi="ar"/>
              </w:rPr>
              <w:t>闪点（闭口）</w:t>
            </w:r>
          </w:p>
        </w:tc>
        <w:tc>
          <w:tcPr>
            <w:tcW w:w="4275" w:type="dxa"/>
            <w:vAlign w:val="center"/>
          </w:tcPr>
          <w:p>
            <w:pPr>
              <w:jc w:val="center"/>
              <w:rPr>
                <w:rFonts w:asciiTheme="minorEastAsia" w:hAnsiTheme="minorEastAsia"/>
                <w:szCs w:val="21"/>
              </w:rPr>
            </w:pPr>
            <w:r>
              <w:rPr>
                <w:rFonts w:asciiTheme="minorEastAsia" w:hAnsiTheme="minorEastAsia"/>
                <w:szCs w:val="21"/>
              </w:rPr>
              <w:t>GB/T 5208-2008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4</w:t>
            </w:r>
          </w:p>
        </w:tc>
        <w:tc>
          <w:tcPr>
            <w:tcW w:w="4718" w:type="dxa"/>
            <w:vAlign w:val="center"/>
          </w:tcPr>
          <w:p>
            <w:pPr>
              <w:widowControl/>
              <w:jc w:val="center"/>
              <w:textAlignment w:val="center"/>
              <w:rPr>
                <w:kern w:val="0"/>
                <w:szCs w:val="21"/>
                <w:lang w:bidi="ar"/>
              </w:rPr>
            </w:pPr>
            <w:r>
              <w:rPr>
                <w:kern w:val="0"/>
                <w:szCs w:val="21"/>
                <w:lang w:bidi="ar"/>
              </w:rPr>
              <w:t>十六烷值</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5</w:t>
            </w:r>
          </w:p>
        </w:tc>
        <w:tc>
          <w:tcPr>
            <w:tcW w:w="4718" w:type="dxa"/>
            <w:vAlign w:val="center"/>
          </w:tcPr>
          <w:p>
            <w:pPr>
              <w:widowControl/>
              <w:jc w:val="center"/>
              <w:textAlignment w:val="center"/>
              <w:rPr>
                <w:kern w:val="0"/>
                <w:szCs w:val="21"/>
                <w:lang w:bidi="ar"/>
              </w:rPr>
            </w:pPr>
            <w:r>
              <w:rPr>
                <w:kern w:val="0"/>
                <w:szCs w:val="21"/>
                <w:lang w:bidi="ar"/>
              </w:rPr>
              <w:t>多环芳烃含量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T</w:t>
            </w:r>
            <w:r>
              <w:rPr>
                <w:rFonts w:asciiTheme="minorEastAsia" w:hAnsiTheme="minorEastAsia"/>
                <w:szCs w:val="21"/>
              </w:rPr>
              <w:t>/GPCIA 0007-2022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6</w:t>
            </w:r>
          </w:p>
        </w:tc>
        <w:tc>
          <w:tcPr>
            <w:tcW w:w="4718" w:type="dxa"/>
            <w:vAlign w:val="center"/>
          </w:tcPr>
          <w:p>
            <w:pPr>
              <w:widowControl/>
              <w:jc w:val="center"/>
              <w:textAlignment w:val="center"/>
              <w:rPr>
                <w:kern w:val="0"/>
                <w:szCs w:val="21"/>
                <w:lang w:bidi="ar"/>
              </w:rPr>
            </w:pPr>
            <w:r>
              <w:rPr>
                <w:kern w:val="0"/>
                <w:szCs w:val="21"/>
                <w:lang w:bidi="ar"/>
              </w:rPr>
              <w:t>密度</w:t>
            </w:r>
          </w:p>
        </w:tc>
        <w:tc>
          <w:tcPr>
            <w:tcW w:w="4275" w:type="dxa"/>
            <w:vAlign w:val="center"/>
          </w:tcPr>
          <w:p>
            <w:pPr>
              <w:jc w:val="center"/>
              <w:rPr>
                <w:rFonts w:asciiTheme="minorEastAsia" w:hAnsiTheme="minorEastAsia"/>
                <w:szCs w:val="21"/>
              </w:rPr>
            </w:pPr>
            <w:r>
              <w:rPr>
                <w:rFonts w:asciiTheme="minorEastAsia" w:hAnsiTheme="minorEastAsia"/>
                <w:szCs w:val="21"/>
              </w:rPr>
              <w:t>SH/T 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7</w:t>
            </w:r>
          </w:p>
        </w:tc>
        <w:tc>
          <w:tcPr>
            <w:tcW w:w="4718" w:type="dxa"/>
            <w:vAlign w:val="center"/>
          </w:tcPr>
          <w:p>
            <w:pPr>
              <w:widowControl/>
              <w:jc w:val="center"/>
              <w:textAlignment w:val="center"/>
              <w:rPr>
                <w:szCs w:val="21"/>
              </w:rPr>
            </w:pPr>
            <w:r>
              <w:rPr>
                <w:kern w:val="0"/>
                <w:szCs w:val="21"/>
                <w:lang w:bidi="ar"/>
              </w:rPr>
              <w:t>脂肪酸甲酯含量</w:t>
            </w:r>
          </w:p>
        </w:tc>
        <w:tc>
          <w:tcPr>
            <w:tcW w:w="4275" w:type="dxa"/>
            <w:vAlign w:val="center"/>
          </w:tcPr>
          <w:p>
            <w:pPr>
              <w:jc w:val="center"/>
              <w:rPr>
                <w:rFonts w:asciiTheme="minorEastAsia" w:hAnsiTheme="minorEastAsia"/>
                <w:szCs w:val="21"/>
              </w:rPr>
            </w:pPr>
            <w:r>
              <w:rPr>
                <w:rFonts w:hint="eastAsia" w:asciiTheme="minorEastAsia" w:hAnsiTheme="minorEastAsia"/>
                <w:szCs w:val="21"/>
              </w:rPr>
              <w:t>红外光谱法</w:t>
            </w:r>
          </w:p>
        </w:tc>
      </w:tr>
    </w:tbl>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pStyle w:val="2"/>
        <w:adjustRightInd w:val="0"/>
        <w:snapToGrid w:val="0"/>
        <w:spacing w:line="360" w:lineRule="auto"/>
        <w:ind w:firstLine="420" w:firstLineChars="200"/>
        <w:rPr>
          <w:rFonts w:asciiTheme="minorEastAsia" w:hAnsiTheme="minorEastAsia"/>
          <w:szCs w:val="21"/>
        </w:rPr>
      </w:pPr>
      <w:r>
        <w:rPr>
          <w:rFonts w:hint="eastAsia" w:asciiTheme="minorEastAsia" w:hAnsiTheme="minorEastAsia"/>
          <w:szCs w:val="21"/>
        </w:rPr>
        <w:t>GB</w:t>
      </w:r>
      <w:r>
        <w:rPr>
          <w:rFonts w:asciiTheme="minorEastAsia" w:hAnsiTheme="minorEastAsia"/>
          <w:szCs w:val="21"/>
        </w:rPr>
        <w:t xml:space="preserve"> 17930-2016</w:t>
      </w:r>
      <w:r>
        <w:rPr>
          <w:rFonts w:hint="eastAsia" w:asciiTheme="minorEastAsia" w:hAnsiTheme="minorEastAsia"/>
          <w:szCs w:val="21"/>
        </w:rPr>
        <w:t>车用汽油</w:t>
      </w:r>
    </w:p>
    <w:p>
      <w:pPr>
        <w:pStyle w:val="2"/>
        <w:adjustRightInd w:val="0"/>
        <w:snapToGrid w:val="0"/>
        <w:spacing w:line="360" w:lineRule="auto"/>
        <w:ind w:firstLine="420" w:firstLineChars="200"/>
        <w:rPr>
          <w:rFonts w:asciiTheme="minorEastAsia" w:hAnsiTheme="minorEastAsia"/>
          <w:szCs w:val="21"/>
        </w:rPr>
      </w:pPr>
      <w:r>
        <w:rPr>
          <w:rFonts w:hint="eastAsia" w:asciiTheme="minorEastAsia" w:hAnsiTheme="minorEastAsia"/>
          <w:szCs w:val="21"/>
        </w:rPr>
        <w:t>GB</w:t>
      </w:r>
      <w:r>
        <w:rPr>
          <w:rFonts w:asciiTheme="minorEastAsia" w:hAnsiTheme="minorEastAsia"/>
          <w:szCs w:val="21"/>
        </w:rPr>
        <w:t xml:space="preserve"> 19147-2016</w:t>
      </w:r>
      <w:r>
        <w:rPr>
          <w:rFonts w:hint="eastAsia" w:asciiTheme="minorEastAsia" w:hAnsiTheme="minorEastAsia"/>
          <w:szCs w:val="21"/>
        </w:rPr>
        <w:t>车用柴油</w:t>
      </w:r>
    </w:p>
    <w:p>
      <w:pPr>
        <w:adjustRightInd w:val="0"/>
        <w:snapToGrid w:val="0"/>
        <w:spacing w:line="36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snapToGrid w:val="0"/>
        <w:spacing w:line="360" w:lineRule="auto"/>
        <w:ind w:firstLine="420" w:firstLineChars="200"/>
        <w:rPr>
          <w:rFonts w:cs="仿宋_GB2312" w:asciiTheme="minorEastAsia" w:hAnsiTheme="minorEastAsia"/>
          <w:szCs w:val="21"/>
        </w:rPr>
      </w:pPr>
      <w:r>
        <w:rPr>
          <w:rFonts w:hint="eastAsia" w:cs="仿宋_GB2312" w:asciiTheme="minorEastAsia" w:hAnsiTheme="minorEastAsia"/>
          <w:szCs w:val="21"/>
        </w:rPr>
        <w:t>经检验，检验项目全部合格，判定为抽取的样本所检项目未检出不合格；检验项目中任一项或一项以上不合格，判定为被抽查产品疑似不合格。</w:t>
      </w:r>
    </w:p>
    <w:p>
      <w:pPr>
        <w:widowControl/>
        <w:autoSpaceDE w:val="0"/>
        <w:autoSpaceDN w:val="0"/>
        <w:spacing w:line="360" w:lineRule="auto"/>
        <w:ind w:firstLine="420" w:firstLineChars="200"/>
        <w:rPr>
          <w:rFonts w:cs="仿宋_GB2312" w:asciiTheme="minorEastAsia" w:hAnsiTheme="minorEastAsia"/>
          <w:kern w:val="0"/>
          <w:szCs w:val="21"/>
        </w:rPr>
      </w:pPr>
      <w:r>
        <w:rPr>
          <w:rFonts w:hint="eastAsia" w:cs="仿宋_GB2312" w:asciiTheme="minorEastAsia" w:hAnsiTheme="minorEastAsia"/>
          <w:kern w:val="0"/>
          <w:szCs w:val="21"/>
        </w:rPr>
        <w:t>当被检样品明示的质量要求优于监督抽查实施细则中依据的标准要求时，应按被检样品明示的质量要求判定；</w:t>
      </w:r>
    </w:p>
    <w:p>
      <w:pPr>
        <w:widowControl/>
        <w:autoSpaceDE w:val="0"/>
        <w:autoSpaceDN w:val="0"/>
        <w:spacing w:line="360" w:lineRule="auto"/>
        <w:ind w:firstLine="420" w:firstLineChars="200"/>
        <w:rPr>
          <w:rFonts w:cs="仿宋_GB2312" w:asciiTheme="minorEastAsia" w:hAnsiTheme="minorEastAsia"/>
          <w:kern w:val="0"/>
          <w:szCs w:val="21"/>
        </w:rPr>
      </w:pPr>
      <w:r>
        <w:rPr>
          <w:rFonts w:hint="eastAsia" w:cs="仿宋_GB2312" w:asciiTheme="minorEastAsia" w:hAnsiTheme="minorEastAsia"/>
          <w:kern w:val="0"/>
          <w:szCs w:val="21"/>
        </w:rPr>
        <w:t>当被检样品明示的质量要求劣于或不包含监督抽查实施细则中依据的强制性标准要求时，应按照强制性标准要求判定；</w:t>
      </w:r>
    </w:p>
    <w:p>
      <w:pPr>
        <w:autoSpaceDE w:val="0"/>
        <w:autoSpaceDN w:val="0"/>
        <w:spacing w:line="360" w:lineRule="auto"/>
        <w:ind w:firstLine="420" w:firstLineChars="200"/>
        <w:rPr>
          <w:rFonts w:cs="仿宋_GB2312" w:asciiTheme="minorEastAsia" w:hAnsiTheme="minorEastAsia"/>
          <w:kern w:val="0"/>
          <w:szCs w:val="21"/>
        </w:rPr>
      </w:pPr>
      <w:r>
        <w:rPr>
          <w:rFonts w:hint="eastAsia" w:cs="仿宋_GB2312" w:asciiTheme="minorEastAsia" w:hAnsiTheme="minorEastAsia"/>
          <w:kern w:val="0"/>
          <w:szCs w:val="21"/>
        </w:rPr>
        <w:t>当被检样品明示的质量要求劣于或包含监督抽查实施细则中依据的推荐性标准要求时，应以被检样品明示的质量要求判定，如相应检验结果不符合相关推荐性标准要求时，应在检验报告中予以说明；</w:t>
      </w:r>
    </w:p>
    <w:p>
      <w:pPr>
        <w:autoSpaceDE w:val="0"/>
        <w:autoSpaceDN w:val="0"/>
        <w:spacing w:line="360" w:lineRule="auto"/>
        <w:ind w:firstLine="420" w:firstLineChars="200"/>
        <w:rPr>
          <w:rFonts w:cs="仿宋_GB2312" w:asciiTheme="minorEastAsia" w:hAnsiTheme="minorEastAsia"/>
          <w:kern w:val="0"/>
          <w:szCs w:val="21"/>
        </w:rPr>
      </w:pPr>
      <w:r>
        <w:rPr>
          <w:rFonts w:hint="eastAsia" w:cs="仿宋_GB2312" w:asciiTheme="minorEastAsia" w:hAnsiTheme="minorEastAsia"/>
          <w:kern w:val="0"/>
          <w:szCs w:val="21"/>
        </w:rPr>
        <w:t>当被检样品明示的质量要求不包含监督抽查实施细则中依据的推荐性标准要求时，该指标不参与判定，但应在检验报告中作出说明；</w:t>
      </w:r>
    </w:p>
    <w:p>
      <w:pPr>
        <w:autoSpaceDE w:val="0"/>
        <w:autoSpaceDN w:val="0"/>
        <w:spacing w:line="360" w:lineRule="auto"/>
        <w:ind w:firstLine="420" w:firstLineChars="200"/>
        <w:rPr>
          <w:rFonts w:cs="仿宋_GB2312" w:asciiTheme="minorEastAsia" w:hAnsiTheme="minorEastAsia"/>
          <w:kern w:val="0"/>
          <w:szCs w:val="21"/>
        </w:rPr>
      </w:pPr>
      <w:r>
        <w:rPr>
          <w:rFonts w:hint="eastAsia" w:cs="仿宋_GB2312" w:asciiTheme="minorEastAsia" w:hAnsiTheme="minorEastAsia"/>
          <w:kern w:val="0"/>
          <w:szCs w:val="21"/>
        </w:rPr>
        <w:t>当被检样品未能提供有效的企业标准时，按相关国家或行业标准进行判定；</w:t>
      </w:r>
    </w:p>
    <w:p>
      <w:pPr>
        <w:autoSpaceDE w:val="0"/>
        <w:autoSpaceDN w:val="0"/>
        <w:spacing w:line="360" w:lineRule="auto"/>
        <w:ind w:firstLine="420" w:firstLineChars="200"/>
        <w:rPr>
          <w:rFonts w:cs="仿宋_GB2312" w:asciiTheme="minorEastAsia" w:hAnsiTheme="minorEastAsia"/>
          <w:kern w:val="0"/>
          <w:szCs w:val="21"/>
        </w:rPr>
      </w:pPr>
      <w:r>
        <w:rPr>
          <w:rFonts w:hint="eastAsia" w:cs="仿宋_GB2312" w:asciiTheme="minorEastAsia" w:hAnsiTheme="minorEastAsia"/>
          <w:kern w:val="0"/>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autoSpaceDE w:val="0"/>
        <w:autoSpaceDN w:val="0"/>
        <w:spacing w:line="360" w:lineRule="auto"/>
        <w:ind w:firstLine="420" w:firstLineChars="200"/>
        <w:rPr>
          <w:rFonts w:cs="仿宋_GB2312" w:asciiTheme="minorEastAsia" w:hAnsiTheme="minorEastAsia"/>
          <w:kern w:val="0"/>
          <w:szCs w:val="21"/>
        </w:rPr>
      </w:pPr>
      <w:r>
        <w:rPr>
          <w:rFonts w:hint="eastAsia" w:cs="仿宋_GB2312" w:asciiTheme="minorEastAsia" w:hAnsiTheme="minorEastAsia"/>
          <w:kern w:val="0"/>
          <w:szCs w:val="21"/>
        </w:rPr>
        <w:t>按照产品质量相关法律法规的规定判定。</w:t>
      </w:r>
    </w:p>
    <w:p>
      <w:pPr>
        <w:spacing w:line="360" w:lineRule="auto"/>
        <w:ind w:firstLine="420" w:firstLineChars="200"/>
        <w:rPr>
          <w:rFonts w:asciiTheme="minorEastAsia" w:hAnsiTheme="minorEastAsia"/>
          <w:snapToGrid w:val="0"/>
          <w:szCs w:val="21"/>
        </w:rPr>
      </w:pPr>
      <w:r>
        <w:rPr>
          <w:rFonts w:hint="eastAsia" w:cs="仿宋_GB2312" w:asciiTheme="minorEastAsia" w:hAnsiTheme="minorEastAsia"/>
          <w:szCs w:val="21"/>
        </w:rPr>
        <w:t>检验中发现因样品失效或者其他原因致使检验无法进行的，检验人员应如实记录，并提供相关证明材料，报送组织监督抽查的市场监管部门。</w:t>
      </w:r>
    </w:p>
    <w:p>
      <w:pPr>
        <w:adjustRightInd w:val="0"/>
        <w:snapToGrid w:val="0"/>
        <w:spacing w:line="360" w:lineRule="auto"/>
        <w:rPr>
          <w:rFonts w:cs="Times New Roman" w:asciiTheme="minorEastAsia" w:hAnsiTheme="minorEastAsia"/>
          <w:color w:val="000000"/>
          <w:szCs w:val="21"/>
        </w:rPr>
      </w:pPr>
    </w:p>
    <w:p>
      <w:pPr>
        <w:adjustRightInd w:val="0"/>
        <w:snapToGrid w:val="0"/>
        <w:spacing w:line="360" w:lineRule="auto"/>
        <w:rPr>
          <w:rFonts w:cs="Times New Roman" w:asciiTheme="minorEastAsia" w:hAnsiTheme="minorEastAsia"/>
          <w:color w:val="000000"/>
          <w:szCs w:val="21"/>
        </w:rPr>
      </w:pPr>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423D0"/>
    <w:rsid w:val="00060317"/>
    <w:rsid w:val="000713C0"/>
    <w:rsid w:val="00081C2D"/>
    <w:rsid w:val="0008535D"/>
    <w:rsid w:val="000B3B3D"/>
    <w:rsid w:val="000B7712"/>
    <w:rsid w:val="000C3B0E"/>
    <w:rsid w:val="000E1E29"/>
    <w:rsid w:val="00110E23"/>
    <w:rsid w:val="00113B3A"/>
    <w:rsid w:val="001235B3"/>
    <w:rsid w:val="00145289"/>
    <w:rsid w:val="00195A98"/>
    <w:rsid w:val="001D09B4"/>
    <w:rsid w:val="001E1710"/>
    <w:rsid w:val="00201D77"/>
    <w:rsid w:val="002124E2"/>
    <w:rsid w:val="00225F38"/>
    <w:rsid w:val="00230724"/>
    <w:rsid w:val="00251445"/>
    <w:rsid w:val="002839CF"/>
    <w:rsid w:val="002F2DE0"/>
    <w:rsid w:val="003C2322"/>
    <w:rsid w:val="0047424B"/>
    <w:rsid w:val="00522D3A"/>
    <w:rsid w:val="005E07DA"/>
    <w:rsid w:val="006111A9"/>
    <w:rsid w:val="00666842"/>
    <w:rsid w:val="0069657A"/>
    <w:rsid w:val="006B738A"/>
    <w:rsid w:val="00703683"/>
    <w:rsid w:val="00735D54"/>
    <w:rsid w:val="00751D7F"/>
    <w:rsid w:val="0075245C"/>
    <w:rsid w:val="00793BEC"/>
    <w:rsid w:val="007D769B"/>
    <w:rsid w:val="007F1EEC"/>
    <w:rsid w:val="007F6979"/>
    <w:rsid w:val="00812681"/>
    <w:rsid w:val="00857967"/>
    <w:rsid w:val="00871F0B"/>
    <w:rsid w:val="008B0A85"/>
    <w:rsid w:val="008B3904"/>
    <w:rsid w:val="008E4ADB"/>
    <w:rsid w:val="00931E9B"/>
    <w:rsid w:val="00985432"/>
    <w:rsid w:val="009A15D9"/>
    <w:rsid w:val="009D6179"/>
    <w:rsid w:val="00A60FC4"/>
    <w:rsid w:val="00A75F3F"/>
    <w:rsid w:val="00A76441"/>
    <w:rsid w:val="00AD0881"/>
    <w:rsid w:val="00AD345B"/>
    <w:rsid w:val="00AE7BF1"/>
    <w:rsid w:val="00B17E3C"/>
    <w:rsid w:val="00B67D91"/>
    <w:rsid w:val="00BD6EE5"/>
    <w:rsid w:val="00C46A83"/>
    <w:rsid w:val="00CB7930"/>
    <w:rsid w:val="00CD736E"/>
    <w:rsid w:val="00D21A5D"/>
    <w:rsid w:val="00D26A30"/>
    <w:rsid w:val="00D420C2"/>
    <w:rsid w:val="00D80BF2"/>
    <w:rsid w:val="00E41C5F"/>
    <w:rsid w:val="00EA0169"/>
    <w:rsid w:val="00EE08E1"/>
    <w:rsid w:val="00FE1E5E"/>
    <w:rsid w:val="060200F0"/>
    <w:rsid w:val="09420F6D"/>
    <w:rsid w:val="09922312"/>
    <w:rsid w:val="0A3674D8"/>
    <w:rsid w:val="0C830BAD"/>
    <w:rsid w:val="1B181814"/>
    <w:rsid w:val="1DE061AB"/>
    <w:rsid w:val="24581C9B"/>
    <w:rsid w:val="279777BC"/>
    <w:rsid w:val="2D9D4F01"/>
    <w:rsid w:val="338D69FB"/>
    <w:rsid w:val="397E01CB"/>
    <w:rsid w:val="3B18551C"/>
    <w:rsid w:val="3C626DF3"/>
    <w:rsid w:val="404B7B55"/>
    <w:rsid w:val="43063C9A"/>
    <w:rsid w:val="44B158FB"/>
    <w:rsid w:val="49DC72CD"/>
    <w:rsid w:val="5463518E"/>
    <w:rsid w:val="5C583F15"/>
    <w:rsid w:val="5DB85E94"/>
    <w:rsid w:val="623B46A6"/>
    <w:rsid w:val="6A5A4E2A"/>
    <w:rsid w:val="71F57208"/>
    <w:rsid w:val="73CC7379"/>
    <w:rsid w:val="772608DB"/>
    <w:rsid w:val="786926B1"/>
    <w:rsid w:val="78FA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Balloon Text"/>
    <w:basedOn w:val="1"/>
    <w:link w:val="11"/>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character" w:customStyle="1" w:styleId="9">
    <w:name w:val="页眉 字符"/>
    <w:basedOn w:val="7"/>
    <w:link w:val="5"/>
    <w:qFormat/>
    <w:uiPriority w:val="0"/>
    <w:rPr>
      <w:rFonts w:asciiTheme="minorHAnsi" w:hAnsiTheme="minorHAnsi" w:eastAsiaTheme="minorEastAsia" w:cstheme="minorBidi"/>
      <w:kern w:val="2"/>
      <w:sz w:val="18"/>
      <w:szCs w:val="18"/>
    </w:rPr>
  </w:style>
  <w:style w:type="character" w:customStyle="1" w:styleId="10">
    <w:name w:val="页脚 字符"/>
    <w:basedOn w:val="7"/>
    <w:link w:val="4"/>
    <w:qFormat/>
    <w:uiPriority w:val="0"/>
    <w:rPr>
      <w:rFonts w:asciiTheme="minorHAnsi" w:hAnsiTheme="minorHAnsi" w:eastAsiaTheme="minorEastAsia" w:cstheme="minorBidi"/>
      <w:kern w:val="2"/>
      <w:sz w:val="18"/>
      <w:szCs w:val="18"/>
    </w:rPr>
  </w:style>
  <w:style w:type="character" w:customStyle="1" w:styleId="11">
    <w:name w:val="批注框文本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206</Words>
  <Characters>1178</Characters>
  <Lines>9</Lines>
  <Paragraphs>2</Paragraphs>
  <TotalTime>118</TotalTime>
  <ScaleCrop>false</ScaleCrop>
  <LinksUpToDate>false</LinksUpToDate>
  <CharactersWithSpaces>1382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2020-03-25T02:48:00Z</dcterms:created>
  <dc:creator>JS</dc:creator>
  <cp:lastModifiedBy>宋翊</cp:lastModifiedBy>
  <dcterms:modified xsi:type="dcterms:W3CDTF">2024-04-18T08:35:47Z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C87D994A1536446BBE8980A129368516_12</vt:lpwstr>
  </property>
</Properties>
</file>