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textAlignment w:val="center"/>
        <w:rPr>
          <w:rFonts w:eastAsia="黑体"/>
          <w:bCs/>
          <w:kern w:val="0"/>
          <w:szCs w:val="32"/>
          <w:highlight w:val="none"/>
          <w:lang w:bidi="ar"/>
        </w:rPr>
      </w:pPr>
      <w:r>
        <w:rPr>
          <w:rFonts w:eastAsia="黑体"/>
          <w:bCs/>
          <w:kern w:val="0"/>
          <w:szCs w:val="32"/>
          <w:highlight w:val="none"/>
          <w:lang w:bidi="ar"/>
        </w:rPr>
        <w:t>附件1</w:t>
      </w:r>
    </w:p>
    <w:p>
      <w:pPr>
        <w:jc w:val="center"/>
        <w:rPr>
          <w:rFonts w:hint="eastAsia" w:ascii="方正小标宋简体" w:hAnsi="方正小标宋简体" w:eastAsia="方正小标宋简体" w:cs="方正小标宋简体"/>
          <w:bCs/>
          <w:kern w:val="0"/>
          <w:sz w:val="36"/>
          <w:szCs w:val="36"/>
          <w:highlight w:val="none"/>
          <w:lang w:bidi="ar"/>
        </w:rPr>
      </w:pPr>
      <w:bookmarkStart w:id="0" w:name="_GoBack"/>
      <w:r>
        <w:rPr>
          <w:rFonts w:hint="eastAsia" w:ascii="方正小标宋简体" w:hAnsi="方正小标宋简体" w:eastAsia="方正小标宋简体" w:cs="方正小标宋简体"/>
          <w:bCs/>
          <w:kern w:val="0"/>
          <w:sz w:val="36"/>
          <w:szCs w:val="36"/>
          <w:highlight w:val="none"/>
          <w:lang w:bidi="ar"/>
        </w:rPr>
        <w:t>广州市白云区来穗人员随迁子女积分制入学指标及</w:t>
      </w:r>
    </w:p>
    <w:p>
      <w:pPr>
        <w:jc w:val="center"/>
        <w:rPr>
          <w:rFonts w:ascii="方正小标宋简体" w:hAnsi="方正小标宋简体" w:eastAsia="方正小标宋简体" w:cs="方正小标宋简体"/>
          <w:bCs/>
          <w:kern w:val="0"/>
          <w:sz w:val="36"/>
          <w:szCs w:val="36"/>
          <w:highlight w:val="none"/>
          <w:lang w:bidi="ar"/>
        </w:rPr>
      </w:pPr>
      <w:r>
        <w:rPr>
          <w:rFonts w:hint="eastAsia" w:ascii="方正小标宋简体" w:hAnsi="方正小标宋简体" w:eastAsia="方正小标宋简体" w:cs="方正小标宋简体"/>
          <w:bCs/>
          <w:kern w:val="0"/>
          <w:sz w:val="36"/>
          <w:szCs w:val="36"/>
          <w:highlight w:val="none"/>
          <w:lang w:bidi="ar"/>
        </w:rPr>
        <w:t>分值</w:t>
      </w:r>
      <w:r>
        <w:rPr>
          <w:rFonts w:ascii="方正小标宋简体" w:hAnsi="方正小标宋简体" w:eastAsia="方正小标宋简体" w:cs="方正小标宋简体"/>
          <w:bCs/>
          <w:kern w:val="0"/>
          <w:sz w:val="36"/>
          <w:szCs w:val="36"/>
          <w:highlight w:val="none"/>
          <w:lang w:bidi="ar"/>
        </w:rPr>
        <w:t>体系表</w:t>
      </w:r>
    </w:p>
    <w:bookmarkEnd w:id="0"/>
    <w:tbl>
      <w:tblPr>
        <w:tblStyle w:val="4"/>
        <w:tblW w:w="962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78"/>
        <w:gridCol w:w="468"/>
        <w:gridCol w:w="1091"/>
        <w:gridCol w:w="4750"/>
        <w:gridCol w:w="2737"/>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tblHeader/>
          <w:jc w:val="center"/>
        </w:trPr>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rFonts w:eastAsia="黑体"/>
                <w:sz w:val="28"/>
                <w:szCs w:val="28"/>
                <w:highlight w:val="none"/>
              </w:rPr>
            </w:pPr>
            <w:r>
              <w:rPr>
                <w:rFonts w:eastAsia="黑体"/>
                <w:sz w:val="28"/>
                <w:szCs w:val="28"/>
                <w:highlight w:val="none"/>
              </w:rPr>
              <w:t>类别</w:t>
            </w:r>
          </w:p>
        </w:tc>
        <w:tc>
          <w:tcPr>
            <w:tcW w:w="468"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rFonts w:eastAsia="黑体"/>
                <w:sz w:val="28"/>
                <w:szCs w:val="28"/>
                <w:highlight w:val="none"/>
              </w:rPr>
            </w:pPr>
            <w:r>
              <w:rPr>
                <w:rFonts w:eastAsia="黑体"/>
                <w:sz w:val="28"/>
                <w:szCs w:val="28"/>
                <w:highlight w:val="none"/>
              </w:rPr>
              <w:t>序号</w:t>
            </w:r>
          </w:p>
        </w:tc>
        <w:tc>
          <w:tcPr>
            <w:tcW w:w="1091"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rFonts w:eastAsia="黑体"/>
                <w:sz w:val="28"/>
                <w:szCs w:val="28"/>
                <w:highlight w:val="none"/>
              </w:rPr>
            </w:pPr>
            <w:r>
              <w:rPr>
                <w:rFonts w:eastAsia="黑体"/>
                <w:sz w:val="28"/>
                <w:szCs w:val="28"/>
                <w:highlight w:val="none"/>
              </w:rPr>
              <w:t>指标</w:t>
            </w:r>
          </w:p>
        </w:tc>
        <w:tc>
          <w:tcPr>
            <w:tcW w:w="4750"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rFonts w:eastAsia="黑体"/>
                <w:sz w:val="28"/>
                <w:szCs w:val="28"/>
                <w:highlight w:val="none"/>
              </w:rPr>
            </w:pPr>
            <w:r>
              <w:rPr>
                <w:rFonts w:eastAsia="黑体"/>
                <w:sz w:val="28"/>
                <w:szCs w:val="28"/>
                <w:highlight w:val="none"/>
              </w:rPr>
              <w:t>指标内容及分值</w:t>
            </w:r>
          </w:p>
        </w:tc>
        <w:tc>
          <w:tcPr>
            <w:tcW w:w="2737" w:type="dxa"/>
            <w:tcBorders>
              <w:top w:val="single" w:color="auto" w:sz="8"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rFonts w:eastAsia="黑体"/>
                <w:sz w:val="28"/>
                <w:szCs w:val="28"/>
                <w:highlight w:val="none"/>
              </w:rPr>
            </w:pPr>
            <w:r>
              <w:rPr>
                <w:rFonts w:eastAsia="黑体"/>
                <w:sz w:val="28"/>
                <w:szCs w:val="28"/>
                <w:highlight w:val="none"/>
              </w:rPr>
              <w:t>备注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基础指标</w:t>
            </w:r>
          </w:p>
        </w:tc>
        <w:tc>
          <w:tcPr>
            <w:tcW w:w="468" w:type="dxa"/>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1</w:t>
            </w:r>
          </w:p>
        </w:tc>
        <w:tc>
          <w:tcPr>
            <w:tcW w:w="1091" w:type="dxa"/>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合法稳定住所</w:t>
            </w:r>
          </w:p>
        </w:tc>
        <w:tc>
          <w:tcPr>
            <w:tcW w:w="4750" w:type="dxa"/>
            <w:tcBorders>
              <w:top w:val="nil"/>
              <w:left w:val="nil"/>
              <w:bottom w:val="single" w:color="auto" w:sz="8" w:space="0"/>
              <w:right w:val="single" w:color="auto" w:sz="8" w:space="0"/>
            </w:tcBorders>
            <w:noWrap w:val="0"/>
            <w:tcMar>
              <w:left w:w="108" w:type="dxa"/>
              <w:right w:w="108" w:type="dxa"/>
            </w:tcMar>
            <w:vAlign w:val="center"/>
          </w:tcPr>
          <w:p>
            <w:pPr>
              <w:pStyle w:val="3"/>
              <w:widowControl/>
              <w:numPr>
                <w:ilvl w:val="0"/>
                <w:numId w:val="1"/>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在广州市办理《广东省居住证》，每满1年计8分；</w:t>
            </w:r>
          </w:p>
          <w:p>
            <w:pPr>
              <w:pStyle w:val="3"/>
              <w:widowControl/>
              <w:numPr>
                <w:ilvl w:val="0"/>
                <w:numId w:val="1"/>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在广州市累积居住年限：</w:t>
            </w:r>
          </w:p>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（1）合法产权住所（20分）；</w:t>
            </w:r>
          </w:p>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（2）合法租赁住所或单位宿舍，每满1年计5分，最高不超过20分。</w:t>
            </w:r>
          </w:p>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3. 申请人居住地由越秀区、海珠区、荔湾区、天河区转移到本市其他行政区的，每满1年计2分，最高不超过10分。</w:t>
            </w: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既有合法产权住房、又有合法租赁住房的，由申请人选择其中一项计分。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adjustRightInd w:val="0"/>
              <w:snapToGrid w:val="0"/>
              <w:spacing w:line="300" w:lineRule="exact"/>
              <w:rPr>
                <w:sz w:val="24"/>
                <w:szCs w:val="24"/>
                <w:highlight w:val="none"/>
              </w:rPr>
            </w:pPr>
          </w:p>
        </w:tc>
        <w:tc>
          <w:tcPr>
            <w:tcW w:w="468" w:type="dxa"/>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2</w:t>
            </w:r>
          </w:p>
        </w:tc>
        <w:tc>
          <w:tcPr>
            <w:tcW w:w="1091" w:type="dxa"/>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合法稳定就业</w:t>
            </w:r>
          </w:p>
        </w:tc>
        <w:tc>
          <w:tcPr>
            <w:tcW w:w="4750" w:type="dxa"/>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在广州市就业（创业）并参加城镇基本养老保险、社会医疗保险（含职工社会医疗保险及城乡居民医疗保险）、失业保险、工伤保险、生育保险，每个险种每满1年计2分。在广州市就业（创业）并缴纳住房公积金，每满1年计2分。</w:t>
            </w: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失业保险基金代缴的职工社会医疗保险缴费年限及外来工医保年限纳入医保累计缴费时间。外地转入社保、补缴社保不计算年限，重复参保期间不重复计算年限。异地转入住房公积金、补缴住房公积金不计算年限。</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7" w:hRule="atLeast"/>
          <w:jc w:val="center"/>
        </w:trPr>
        <w:tc>
          <w:tcPr>
            <w:tcW w:w="57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adjustRightInd w:val="0"/>
              <w:snapToGrid w:val="0"/>
              <w:spacing w:line="300" w:lineRule="exact"/>
              <w:rPr>
                <w:sz w:val="24"/>
                <w:szCs w:val="24"/>
                <w:highlight w:val="none"/>
              </w:rPr>
            </w:pPr>
          </w:p>
        </w:tc>
        <w:tc>
          <w:tcPr>
            <w:tcW w:w="468" w:type="dxa"/>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3</w:t>
            </w:r>
          </w:p>
        </w:tc>
        <w:tc>
          <w:tcPr>
            <w:tcW w:w="1091" w:type="dxa"/>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年龄</w:t>
            </w:r>
          </w:p>
        </w:tc>
        <w:tc>
          <w:tcPr>
            <w:tcW w:w="4750" w:type="dxa"/>
            <w:tcBorders>
              <w:top w:val="nil"/>
              <w:left w:val="nil"/>
              <w:bottom w:val="single" w:color="auto" w:sz="8" w:space="0"/>
              <w:right w:val="single" w:color="auto" w:sz="8" w:space="0"/>
            </w:tcBorders>
            <w:noWrap w:val="0"/>
            <w:tcMar>
              <w:left w:w="108" w:type="dxa"/>
              <w:right w:w="108" w:type="dxa"/>
            </w:tcMar>
            <w:vAlign w:val="center"/>
          </w:tcPr>
          <w:p>
            <w:pPr>
              <w:pStyle w:val="3"/>
              <w:widowControl/>
              <w:numPr>
                <w:ilvl w:val="0"/>
                <w:numId w:val="2"/>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18—40周岁（含40周岁）（30分）；</w:t>
            </w:r>
          </w:p>
          <w:p>
            <w:pPr>
              <w:pStyle w:val="3"/>
              <w:widowControl/>
              <w:numPr>
                <w:ilvl w:val="0"/>
                <w:numId w:val="2"/>
              </w:numPr>
              <w:adjustRightInd w:val="0"/>
              <w:snapToGrid w:val="0"/>
              <w:spacing w:before="0" w:beforeAutospacing="0" w:after="0" w:afterAutospacing="0" w:line="300" w:lineRule="exact"/>
              <w:ind w:firstLine="480" w:firstLineChars="200"/>
              <w:jc w:val="both"/>
              <w:rPr>
                <w:szCs w:val="24"/>
                <w:highlight w:val="none"/>
              </w:rPr>
            </w:pPr>
            <w:r>
              <w:rPr>
                <w:rFonts w:hint="eastAsia"/>
                <w:szCs w:val="24"/>
                <w:highlight w:val="none"/>
              </w:rPr>
              <w:t>40周岁以上的，每增加一岁（含不满一岁）少加2分</w:t>
            </w:r>
            <w:r>
              <w:rPr>
                <w:szCs w:val="24"/>
                <w:highlight w:val="none"/>
              </w:rPr>
              <w:t>。</w:t>
            </w: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动态调整，最低为0分。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05" w:hRule="atLeast"/>
          <w:jc w:val="center"/>
        </w:trPr>
        <w:tc>
          <w:tcPr>
            <w:tcW w:w="578" w:type="dxa"/>
            <w:vMerge w:val="restart"/>
            <w:tcBorders>
              <w:top w:val="nil"/>
              <w:left w:val="single" w:color="auto" w:sz="4"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加分指标</w:t>
            </w:r>
          </w:p>
        </w:tc>
        <w:tc>
          <w:tcPr>
            <w:tcW w:w="468" w:type="dxa"/>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1</w:t>
            </w:r>
          </w:p>
        </w:tc>
        <w:tc>
          <w:tcPr>
            <w:tcW w:w="1091" w:type="dxa"/>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文化程度</w:t>
            </w:r>
          </w:p>
        </w:tc>
        <w:tc>
          <w:tcPr>
            <w:tcW w:w="4750" w:type="dxa"/>
            <w:tcBorders>
              <w:top w:val="nil"/>
              <w:left w:val="nil"/>
              <w:bottom w:val="single" w:color="auto" w:sz="4" w:space="0"/>
              <w:right w:val="single" w:color="auto" w:sz="8" w:space="0"/>
            </w:tcBorders>
            <w:noWrap w:val="0"/>
            <w:tcMar>
              <w:left w:w="108" w:type="dxa"/>
              <w:right w:w="108" w:type="dxa"/>
            </w:tcMar>
            <w:vAlign w:val="center"/>
          </w:tcPr>
          <w:p>
            <w:pPr>
              <w:pStyle w:val="3"/>
              <w:widowControl/>
              <w:numPr>
                <w:ilvl w:val="0"/>
                <w:numId w:val="3"/>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本科及以上学历（30分）；</w:t>
            </w:r>
          </w:p>
          <w:p>
            <w:pPr>
              <w:pStyle w:val="3"/>
              <w:widowControl/>
              <w:numPr>
                <w:ilvl w:val="0"/>
                <w:numId w:val="3"/>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专科（含高职）（20分）；</w:t>
            </w:r>
          </w:p>
          <w:p>
            <w:pPr>
              <w:pStyle w:val="3"/>
              <w:widowControl/>
              <w:numPr>
                <w:ilvl w:val="0"/>
                <w:numId w:val="3"/>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高中（含中职）（10分）。</w:t>
            </w:r>
          </w:p>
        </w:tc>
        <w:tc>
          <w:tcPr>
            <w:tcW w:w="2737" w:type="dxa"/>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只取最高分，不累计计分。高中以下学历不计分。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vMerge w:val="continue"/>
            <w:tcBorders>
              <w:left w:val="single" w:color="auto" w:sz="4" w:space="0"/>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p>
        </w:tc>
        <w:tc>
          <w:tcPr>
            <w:tcW w:w="46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2</w:t>
            </w:r>
          </w:p>
        </w:tc>
        <w:tc>
          <w:tcPr>
            <w:tcW w:w="10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技术能力</w:t>
            </w:r>
          </w:p>
        </w:tc>
        <w:tc>
          <w:tcPr>
            <w:tcW w:w="47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numPr>
                <w:ilvl w:val="0"/>
                <w:numId w:val="4"/>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中级及以上职称或技师及以上职业资格（20分）；</w:t>
            </w:r>
          </w:p>
          <w:p>
            <w:pPr>
              <w:pStyle w:val="3"/>
              <w:widowControl/>
              <w:numPr>
                <w:ilvl w:val="0"/>
                <w:numId w:val="4"/>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初级职称、职业资格为高级、事业单位工勤技术三级（10分）；</w:t>
            </w:r>
          </w:p>
          <w:p>
            <w:pPr>
              <w:pStyle w:val="3"/>
              <w:widowControl/>
              <w:numPr>
                <w:ilvl w:val="0"/>
                <w:numId w:val="4"/>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职业资格中级、事业单位工勤技术四级（5分）；</w:t>
            </w:r>
          </w:p>
          <w:p>
            <w:pPr>
              <w:pStyle w:val="3"/>
              <w:widowControl/>
              <w:numPr>
                <w:ilvl w:val="0"/>
                <w:numId w:val="4"/>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正在从事与上述专业技术资格证书、职业资格证书相对应职业工种工作（5分）。</w:t>
            </w:r>
          </w:p>
        </w:tc>
        <w:tc>
          <w:tcPr>
            <w:tcW w:w="27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职业资格包括职业技能等级，是指获得国家、广东省、广州市人力资源和社会保障部门</w:t>
            </w:r>
            <w:r>
              <w:rPr>
                <w:rFonts w:hint="eastAsia"/>
                <w:szCs w:val="24"/>
                <w:highlight w:val="none"/>
              </w:rPr>
              <w:t>认可</w:t>
            </w:r>
            <w:r>
              <w:rPr>
                <w:szCs w:val="24"/>
                <w:highlight w:val="none"/>
              </w:rPr>
              <w:t>的国家职业资格。只取最高分，不累计计分。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0" w:hRule="atLeast"/>
          <w:jc w:val="center"/>
        </w:trPr>
        <w:tc>
          <w:tcPr>
            <w:tcW w:w="578" w:type="dxa"/>
            <w:vMerge w:val="restart"/>
            <w:tcBorders>
              <w:top w:val="single" w:color="auto" w:sz="4" w:space="0"/>
              <w:left w:val="single" w:color="auto" w:sz="4"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加分指标</w:t>
            </w:r>
          </w:p>
        </w:tc>
        <w:tc>
          <w:tcPr>
            <w:tcW w:w="468"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3</w:t>
            </w:r>
          </w:p>
        </w:tc>
        <w:tc>
          <w:tcPr>
            <w:tcW w:w="1091"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创新能力</w:t>
            </w:r>
          </w:p>
        </w:tc>
        <w:tc>
          <w:tcPr>
            <w:tcW w:w="4750"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widowControl/>
              <w:numPr>
                <w:ilvl w:val="0"/>
                <w:numId w:val="5"/>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近5年获得授权的有效专利且授权时的地址为广州市辖区的专利发明人或者设计人，按以下标准给予计分：</w:t>
            </w:r>
          </w:p>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属发明专利的，每项专利按20</w:t>
            </w:r>
            <w:r>
              <w:rPr>
                <w:rFonts w:hint="eastAsia"/>
                <w:szCs w:val="24"/>
                <w:highlight w:val="none"/>
              </w:rPr>
              <w:t>分</w:t>
            </w:r>
            <w:r>
              <w:rPr>
                <w:szCs w:val="24"/>
                <w:highlight w:val="none"/>
              </w:rPr>
              <w:t>/（人数）计算。最高不超过40分。</w:t>
            </w:r>
          </w:p>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属实用新型专利的，每项专利按10</w:t>
            </w:r>
            <w:r>
              <w:rPr>
                <w:rFonts w:hint="eastAsia"/>
                <w:szCs w:val="24"/>
                <w:highlight w:val="none"/>
              </w:rPr>
              <w:t>分</w:t>
            </w:r>
            <w:r>
              <w:rPr>
                <w:szCs w:val="24"/>
                <w:highlight w:val="none"/>
              </w:rPr>
              <w:t>/（人数）计算。最高不超过20分。</w:t>
            </w:r>
          </w:p>
          <w:p>
            <w:pPr>
              <w:pStyle w:val="3"/>
              <w:widowControl/>
              <w:numPr>
                <w:ilvl w:val="0"/>
                <w:numId w:val="5"/>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在广州市高新技术企业、新型研发机构从事技术创新和研发的申请人，工作每满1年计2分，最高不超过10分。</w:t>
            </w:r>
          </w:p>
        </w:tc>
        <w:tc>
          <w:tcPr>
            <w:tcW w:w="2737" w:type="dxa"/>
            <w:tcBorders>
              <w:top w:val="single" w:color="auto" w:sz="4" w:space="0"/>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专利授权后，专利发明人或设计人发生变更的，不予积分；专利地址变更到非广州市辖区内的，不予积分。对同时满足1和2两项条件的，可以累计计分。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05"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pPr>
              <w:adjustRightInd w:val="0"/>
              <w:snapToGrid w:val="0"/>
              <w:spacing w:line="300" w:lineRule="exact"/>
              <w:rPr>
                <w:sz w:val="24"/>
                <w:szCs w:val="24"/>
                <w:highlight w:val="none"/>
              </w:rPr>
            </w:pPr>
          </w:p>
        </w:tc>
        <w:tc>
          <w:tcPr>
            <w:tcW w:w="468" w:type="dxa"/>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4</w:t>
            </w:r>
          </w:p>
        </w:tc>
        <w:tc>
          <w:tcPr>
            <w:tcW w:w="1091" w:type="dxa"/>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急需工种或职业资格（职业技能等级）、服务行业</w:t>
            </w:r>
          </w:p>
        </w:tc>
        <w:tc>
          <w:tcPr>
            <w:tcW w:w="4750" w:type="dxa"/>
            <w:tcBorders>
              <w:top w:val="nil"/>
              <w:left w:val="nil"/>
              <w:bottom w:val="single" w:color="auto" w:sz="8" w:space="0"/>
              <w:right w:val="single" w:color="auto" w:sz="8" w:space="0"/>
            </w:tcBorders>
            <w:noWrap w:val="0"/>
            <w:tcMar>
              <w:left w:w="108" w:type="dxa"/>
              <w:right w:w="108" w:type="dxa"/>
            </w:tcMar>
            <w:vAlign w:val="center"/>
          </w:tcPr>
          <w:p>
            <w:pPr>
              <w:pStyle w:val="3"/>
              <w:widowControl/>
              <w:numPr>
                <w:ilvl w:val="0"/>
                <w:numId w:val="6"/>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职业工种或职业资格符合当年广州市积分急需工种或职业资格目录（10分）；</w:t>
            </w:r>
          </w:p>
          <w:p>
            <w:pPr>
              <w:pStyle w:val="3"/>
              <w:widowControl/>
              <w:numPr>
                <w:ilvl w:val="0"/>
                <w:numId w:val="6"/>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现正从事特殊艰苦行业一线人员（10分）。工作每满1年再加计5分，最高再加分不超过20分。</w:t>
            </w:r>
          </w:p>
        </w:tc>
        <w:tc>
          <w:tcPr>
            <w:tcW w:w="2737" w:type="dxa"/>
            <w:tcBorders>
              <w:top w:val="nil"/>
              <w:left w:val="nil"/>
              <w:bottom w:val="single" w:color="auto" w:sz="8"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45"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pPr>
              <w:adjustRightInd w:val="0"/>
              <w:snapToGrid w:val="0"/>
              <w:spacing w:line="300" w:lineRule="exact"/>
              <w:rPr>
                <w:sz w:val="24"/>
                <w:szCs w:val="24"/>
                <w:highlight w:val="none"/>
              </w:rPr>
            </w:pPr>
          </w:p>
        </w:tc>
        <w:tc>
          <w:tcPr>
            <w:tcW w:w="468" w:type="dxa"/>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5</w:t>
            </w:r>
          </w:p>
        </w:tc>
        <w:tc>
          <w:tcPr>
            <w:tcW w:w="1091" w:type="dxa"/>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社会服务和公益</w:t>
            </w:r>
          </w:p>
        </w:tc>
        <w:tc>
          <w:tcPr>
            <w:tcW w:w="4750" w:type="dxa"/>
            <w:tcBorders>
              <w:top w:val="nil"/>
              <w:left w:val="nil"/>
              <w:bottom w:val="single" w:color="auto" w:sz="4" w:space="0"/>
              <w:right w:val="single" w:color="auto" w:sz="8" w:space="0"/>
            </w:tcBorders>
            <w:noWrap w:val="0"/>
            <w:tcMar>
              <w:left w:w="108" w:type="dxa"/>
              <w:right w:w="108" w:type="dxa"/>
            </w:tcMar>
            <w:vAlign w:val="center"/>
          </w:tcPr>
          <w:p>
            <w:pPr>
              <w:pStyle w:val="3"/>
              <w:widowControl/>
              <w:numPr>
                <w:ilvl w:val="0"/>
                <w:numId w:val="7"/>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近5年内，参加献血（每次计2分），单项累计最高不超过10分。</w:t>
            </w:r>
          </w:p>
          <w:p>
            <w:pPr>
              <w:pStyle w:val="3"/>
              <w:widowControl/>
              <w:numPr>
                <w:ilvl w:val="0"/>
                <w:numId w:val="7"/>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近5年内，参加志愿者（义工）服务（每满50小时计2分）。1年内计分不超过2分，单项累计最高不超过10分。</w:t>
            </w:r>
          </w:p>
        </w:tc>
        <w:tc>
          <w:tcPr>
            <w:tcW w:w="2737" w:type="dxa"/>
            <w:tcBorders>
              <w:top w:val="nil"/>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 xml:space="preserve">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5" w:hRule="atLeast"/>
          <w:jc w:val="center"/>
        </w:trPr>
        <w:tc>
          <w:tcPr>
            <w:tcW w:w="578" w:type="dxa"/>
            <w:vMerge w:val="continue"/>
            <w:tcBorders>
              <w:left w:val="single" w:color="auto" w:sz="4" w:space="0"/>
              <w:bottom w:val="single" w:color="auto" w:sz="4" w:space="0"/>
              <w:right w:val="single" w:color="auto" w:sz="8" w:space="0"/>
            </w:tcBorders>
            <w:noWrap w:val="0"/>
            <w:tcMar>
              <w:left w:w="108" w:type="dxa"/>
              <w:right w:w="108" w:type="dxa"/>
            </w:tcMar>
            <w:vAlign w:val="center"/>
          </w:tcPr>
          <w:p>
            <w:pPr>
              <w:adjustRightInd w:val="0"/>
              <w:snapToGrid w:val="0"/>
              <w:spacing w:line="300" w:lineRule="exact"/>
              <w:rPr>
                <w:sz w:val="24"/>
                <w:szCs w:val="24"/>
                <w:highlight w:val="none"/>
              </w:rPr>
            </w:pPr>
          </w:p>
        </w:tc>
        <w:tc>
          <w:tcPr>
            <w:tcW w:w="46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6</w:t>
            </w:r>
          </w:p>
        </w:tc>
        <w:tc>
          <w:tcPr>
            <w:tcW w:w="109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纳税情况</w:t>
            </w:r>
          </w:p>
        </w:tc>
        <w:tc>
          <w:tcPr>
            <w:tcW w:w="4750"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numPr>
                <w:ilvl w:val="0"/>
                <w:numId w:val="8"/>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对普通劳动者，申报缴纳个人所得税：（1）近3个纳税年度累计在广州市缴纳个人所得税：1万—3万元（含1万元，不含3万元）（4分）；3万—6万元（含3万元，不含6万元）（8分）；6万元以上（含6万元）（12分）。</w:t>
            </w:r>
          </w:p>
          <w:p>
            <w:pPr>
              <w:pStyle w:val="3"/>
              <w:widowControl/>
              <w:numPr>
                <w:ilvl w:val="0"/>
                <w:numId w:val="9"/>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近3个纳税年度连续每1年均在广州市申报缴纳综合所得（包括工资薪金所得、劳务报酬所得、稿酬所得，特许权使用费所得）或者经营所得的个人所得税（4分）。</w:t>
            </w:r>
          </w:p>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（3）近1个纳税年度按规定办理个人所得税年度汇算清缴申报（含清缴税款）（2分）。</w:t>
            </w:r>
          </w:p>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2. 所投资创办的企业，近3个纳税年度累积在广州市纳税：</w:t>
            </w:r>
          </w:p>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（1）5万—10万元（含5万元，不含10万元）（4分）；</w:t>
            </w:r>
          </w:p>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（2）10万—20万元（含10万元，不含20万元）（8分）；</w:t>
            </w:r>
          </w:p>
          <w:p>
            <w:pPr>
              <w:pStyle w:val="3"/>
              <w:widowControl/>
              <w:adjustRightInd w:val="0"/>
              <w:snapToGrid w:val="0"/>
              <w:spacing w:before="0" w:beforeAutospacing="0" w:after="0" w:afterAutospacing="0" w:line="300" w:lineRule="exact"/>
              <w:ind w:firstLine="480" w:firstLineChars="200"/>
              <w:jc w:val="both"/>
              <w:rPr>
                <w:szCs w:val="24"/>
                <w:highlight w:val="none"/>
              </w:rPr>
            </w:pPr>
            <w:r>
              <w:rPr>
                <w:szCs w:val="24"/>
                <w:highlight w:val="none"/>
              </w:rPr>
              <w:t>（3）20万元以上（含20万元）（12分）。</w:t>
            </w:r>
          </w:p>
        </w:tc>
        <w:tc>
          <w:tcPr>
            <w:tcW w:w="273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pPr>
              <w:pStyle w:val="3"/>
              <w:widowControl/>
              <w:numPr>
                <w:ilvl w:val="0"/>
                <w:numId w:val="10"/>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一个纳税年度指当年的1月1日至12月31日。</w:t>
            </w:r>
          </w:p>
          <w:p>
            <w:pPr>
              <w:pStyle w:val="3"/>
              <w:widowControl/>
              <w:numPr>
                <w:ilvl w:val="0"/>
                <w:numId w:val="10"/>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对同时满足1和2两项条件的，可以累计计分。</w:t>
            </w:r>
          </w:p>
          <w:p>
            <w:pPr>
              <w:pStyle w:val="3"/>
              <w:widowControl/>
              <w:adjustRightInd w:val="0"/>
              <w:snapToGrid w:val="0"/>
              <w:spacing w:before="0" w:beforeAutospacing="0" w:after="0" w:afterAutospacing="0" w:line="300" w:lineRule="exact"/>
              <w:ind w:firstLine="480" w:firstLineChars="200"/>
              <w:jc w:val="both"/>
              <w:rPr>
                <w:szCs w:val="24"/>
                <w:highlight w:val="none"/>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tcBorders>
              <w:top w:val="single" w:color="auto" w:sz="4" w:space="0"/>
              <w:left w:val="single" w:color="auto" w:sz="4" w:space="0"/>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加分指标</w:t>
            </w:r>
          </w:p>
        </w:tc>
        <w:tc>
          <w:tcPr>
            <w:tcW w:w="468"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7</w:t>
            </w:r>
          </w:p>
        </w:tc>
        <w:tc>
          <w:tcPr>
            <w:tcW w:w="1091"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widowControl/>
              <w:adjustRightInd w:val="0"/>
              <w:snapToGrid w:val="0"/>
              <w:spacing w:before="0" w:beforeAutospacing="0" w:after="0" w:afterAutospacing="0" w:line="300" w:lineRule="exact"/>
              <w:jc w:val="center"/>
              <w:rPr>
                <w:szCs w:val="24"/>
                <w:highlight w:val="none"/>
              </w:rPr>
            </w:pPr>
            <w:r>
              <w:rPr>
                <w:szCs w:val="24"/>
                <w:highlight w:val="none"/>
              </w:rPr>
              <w:t>表彰奖项</w:t>
            </w:r>
          </w:p>
        </w:tc>
        <w:tc>
          <w:tcPr>
            <w:tcW w:w="4750"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widowControl/>
              <w:numPr>
                <w:ilvl w:val="0"/>
                <w:numId w:val="11"/>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个人获得党中央、国务院授予的奖项和荣誉称号（30分）；</w:t>
            </w:r>
          </w:p>
          <w:p>
            <w:pPr>
              <w:pStyle w:val="3"/>
              <w:widowControl/>
              <w:numPr>
                <w:ilvl w:val="0"/>
                <w:numId w:val="11"/>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个人获得广东省委、省政府或中央和国家机关部委等授予的劳动模范或先进工作者等荣誉称号（20分）；</w:t>
            </w:r>
          </w:p>
          <w:p>
            <w:pPr>
              <w:pStyle w:val="3"/>
              <w:widowControl/>
              <w:numPr>
                <w:ilvl w:val="0"/>
                <w:numId w:val="11"/>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个人获得广州市委、市政府授予的奖项和荣誉称号（10分）；</w:t>
            </w:r>
          </w:p>
          <w:p>
            <w:pPr>
              <w:pStyle w:val="3"/>
              <w:widowControl/>
              <w:numPr>
                <w:ilvl w:val="0"/>
                <w:numId w:val="11"/>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个人获得广州市直机关或各区委、区政府授予的奖项和荣誉称号（5分）</w:t>
            </w:r>
            <w:r>
              <w:rPr>
                <w:rFonts w:hint="eastAsia"/>
                <w:szCs w:val="24"/>
                <w:highlight w:val="none"/>
              </w:rPr>
              <w:t>；</w:t>
            </w:r>
          </w:p>
          <w:p>
            <w:pPr>
              <w:pStyle w:val="3"/>
              <w:widowControl/>
              <w:numPr>
                <w:ilvl w:val="0"/>
                <w:numId w:val="11"/>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个人获得中央军委授予的荣誉称号（30分）</w:t>
            </w:r>
            <w:r>
              <w:rPr>
                <w:rFonts w:hint="eastAsia"/>
                <w:szCs w:val="24"/>
                <w:highlight w:val="none"/>
              </w:rPr>
              <w:t>；</w:t>
            </w:r>
          </w:p>
          <w:p>
            <w:pPr>
              <w:pStyle w:val="3"/>
              <w:widowControl/>
              <w:numPr>
                <w:ilvl w:val="0"/>
                <w:numId w:val="11"/>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个人获得一等功（首次20分，累加每次5分）；获得二等功（首次10分，累加每次2分）；获得三等功（首次5分，累加每次1分）。</w:t>
            </w:r>
          </w:p>
        </w:tc>
        <w:tc>
          <w:tcPr>
            <w:tcW w:w="2737" w:type="dxa"/>
            <w:tcBorders>
              <w:top w:val="single" w:color="auto" w:sz="4" w:space="0"/>
              <w:left w:val="nil"/>
              <w:bottom w:val="single" w:color="auto" w:sz="4" w:space="0"/>
              <w:right w:val="single" w:color="auto" w:sz="8" w:space="0"/>
            </w:tcBorders>
            <w:noWrap w:val="0"/>
            <w:tcMar>
              <w:left w:w="108" w:type="dxa"/>
              <w:right w:w="108" w:type="dxa"/>
            </w:tcMar>
            <w:vAlign w:val="center"/>
          </w:tcPr>
          <w:p>
            <w:pPr>
              <w:pStyle w:val="3"/>
              <w:widowControl/>
              <w:numPr>
                <w:ilvl w:val="0"/>
                <w:numId w:val="12"/>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只计个人在广州市工作期间获得的奖项。</w:t>
            </w:r>
          </w:p>
          <w:p>
            <w:pPr>
              <w:pStyle w:val="3"/>
              <w:widowControl/>
              <w:numPr>
                <w:ilvl w:val="0"/>
                <w:numId w:val="12"/>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同一奖项只取最高分，不同奖项可累计计分。</w:t>
            </w:r>
          </w:p>
          <w:p>
            <w:pPr>
              <w:pStyle w:val="3"/>
              <w:widowControl/>
              <w:numPr>
                <w:ilvl w:val="0"/>
                <w:numId w:val="12"/>
              </w:numPr>
              <w:adjustRightInd w:val="0"/>
              <w:snapToGrid w:val="0"/>
              <w:spacing w:before="0" w:beforeAutospacing="0" w:after="0" w:afterAutospacing="0" w:line="300" w:lineRule="exact"/>
              <w:ind w:firstLine="480" w:firstLineChars="200"/>
              <w:jc w:val="both"/>
              <w:rPr>
                <w:szCs w:val="24"/>
                <w:highlight w:val="none"/>
              </w:rPr>
            </w:pPr>
            <w:r>
              <w:rPr>
                <w:szCs w:val="24"/>
                <w:highlight w:val="none"/>
              </w:rPr>
              <w:t>服役期间立功受奖情况（指标内容5—6）不受上述限制。</w:t>
            </w:r>
          </w:p>
          <w:p>
            <w:pPr>
              <w:pStyle w:val="3"/>
              <w:widowControl/>
              <w:adjustRightInd w:val="0"/>
              <w:snapToGrid w:val="0"/>
              <w:spacing w:before="0" w:beforeAutospacing="0" w:after="0" w:afterAutospacing="0" w:line="300" w:lineRule="exact"/>
              <w:ind w:firstLine="480" w:firstLineChars="200"/>
              <w:jc w:val="both"/>
              <w:rPr>
                <w:szCs w:val="24"/>
                <w:highlight w:val="none"/>
              </w:rPr>
            </w:pPr>
          </w:p>
        </w:tc>
      </w:tr>
    </w:tbl>
    <w:p>
      <w:pPr>
        <w:autoSpaceDE w:val="0"/>
        <w:autoSpaceDN w:val="0"/>
        <w:adjustRightInd w:val="0"/>
        <w:snapToGrid w:val="0"/>
        <w:rPr>
          <w:rFonts w:eastAsia="黑体"/>
          <w:sz w:val="28"/>
          <w:szCs w:val="28"/>
          <w:highlight w:val="none"/>
        </w:rPr>
      </w:pPr>
    </w:p>
    <w:p>
      <w:pPr>
        <w:autoSpaceDE w:val="0"/>
        <w:autoSpaceDN w:val="0"/>
        <w:adjustRightInd w:val="0"/>
        <w:snapToGrid w:val="0"/>
        <w:rPr>
          <w:highlight w:val="none"/>
        </w:rPr>
      </w:pPr>
      <w:r>
        <w:rPr>
          <w:rFonts w:hint="eastAsia"/>
          <w:highlight w:val="none"/>
        </w:rPr>
        <w:t>备注：若上位政策发生变化，积分制入学指标及分值体系将根据当年最新政策进行调整。</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9CF8A5"/>
    <w:multiLevelType w:val="singleLevel"/>
    <w:tmpl w:val="829CF8A5"/>
    <w:lvl w:ilvl="0" w:tentative="0">
      <w:start w:val="1"/>
      <w:numFmt w:val="decimal"/>
      <w:suff w:val="space"/>
      <w:lvlText w:val="%1."/>
      <w:lvlJc w:val="left"/>
    </w:lvl>
  </w:abstractNum>
  <w:abstractNum w:abstractNumId="1">
    <w:nsid w:val="A407C273"/>
    <w:multiLevelType w:val="singleLevel"/>
    <w:tmpl w:val="A407C273"/>
    <w:lvl w:ilvl="0" w:tentative="0">
      <w:start w:val="1"/>
      <w:numFmt w:val="decimal"/>
      <w:suff w:val="space"/>
      <w:lvlText w:val="%1."/>
      <w:lvlJc w:val="left"/>
    </w:lvl>
  </w:abstractNum>
  <w:abstractNum w:abstractNumId="2">
    <w:nsid w:val="CB01D1C3"/>
    <w:multiLevelType w:val="singleLevel"/>
    <w:tmpl w:val="CB01D1C3"/>
    <w:lvl w:ilvl="0" w:tentative="0">
      <w:start w:val="1"/>
      <w:numFmt w:val="decimal"/>
      <w:suff w:val="space"/>
      <w:lvlText w:val="%1."/>
      <w:lvlJc w:val="left"/>
    </w:lvl>
  </w:abstractNum>
  <w:abstractNum w:abstractNumId="3">
    <w:nsid w:val="DC96FBD3"/>
    <w:multiLevelType w:val="singleLevel"/>
    <w:tmpl w:val="DC96FBD3"/>
    <w:lvl w:ilvl="0" w:tentative="0">
      <w:start w:val="1"/>
      <w:numFmt w:val="decimal"/>
      <w:suff w:val="space"/>
      <w:lvlText w:val="%1."/>
      <w:lvlJc w:val="left"/>
    </w:lvl>
  </w:abstractNum>
  <w:abstractNum w:abstractNumId="4">
    <w:nsid w:val="E5E8D0F4"/>
    <w:multiLevelType w:val="singleLevel"/>
    <w:tmpl w:val="E5E8D0F4"/>
    <w:lvl w:ilvl="0" w:tentative="0">
      <w:start w:val="1"/>
      <w:numFmt w:val="decimal"/>
      <w:suff w:val="space"/>
      <w:lvlText w:val="%1."/>
      <w:lvlJc w:val="left"/>
    </w:lvl>
  </w:abstractNum>
  <w:abstractNum w:abstractNumId="5">
    <w:nsid w:val="E9ADAC0C"/>
    <w:multiLevelType w:val="singleLevel"/>
    <w:tmpl w:val="E9ADAC0C"/>
    <w:lvl w:ilvl="0" w:tentative="0">
      <w:start w:val="2"/>
      <w:numFmt w:val="decimal"/>
      <w:suff w:val="nothing"/>
      <w:lvlText w:val="（%1）"/>
      <w:lvlJc w:val="left"/>
    </w:lvl>
  </w:abstractNum>
  <w:abstractNum w:abstractNumId="6">
    <w:nsid w:val="05F6D64A"/>
    <w:multiLevelType w:val="singleLevel"/>
    <w:tmpl w:val="05F6D64A"/>
    <w:lvl w:ilvl="0" w:tentative="0">
      <w:start w:val="1"/>
      <w:numFmt w:val="decimal"/>
      <w:suff w:val="space"/>
      <w:lvlText w:val="%1."/>
      <w:lvlJc w:val="left"/>
    </w:lvl>
  </w:abstractNum>
  <w:abstractNum w:abstractNumId="7">
    <w:nsid w:val="075093D7"/>
    <w:multiLevelType w:val="singleLevel"/>
    <w:tmpl w:val="075093D7"/>
    <w:lvl w:ilvl="0" w:tentative="0">
      <w:start w:val="1"/>
      <w:numFmt w:val="decimal"/>
      <w:suff w:val="space"/>
      <w:lvlText w:val="%1."/>
      <w:lvlJc w:val="left"/>
    </w:lvl>
  </w:abstractNum>
  <w:abstractNum w:abstractNumId="8">
    <w:nsid w:val="1369A34A"/>
    <w:multiLevelType w:val="singleLevel"/>
    <w:tmpl w:val="1369A34A"/>
    <w:lvl w:ilvl="0" w:tentative="0">
      <w:start w:val="1"/>
      <w:numFmt w:val="decimal"/>
      <w:suff w:val="space"/>
      <w:lvlText w:val="%1."/>
      <w:lvlJc w:val="left"/>
    </w:lvl>
  </w:abstractNum>
  <w:abstractNum w:abstractNumId="9">
    <w:nsid w:val="2B585805"/>
    <w:multiLevelType w:val="singleLevel"/>
    <w:tmpl w:val="2B585805"/>
    <w:lvl w:ilvl="0" w:tentative="0">
      <w:start w:val="1"/>
      <w:numFmt w:val="decimal"/>
      <w:suff w:val="space"/>
      <w:lvlText w:val="%1."/>
      <w:lvlJc w:val="left"/>
    </w:lvl>
  </w:abstractNum>
  <w:abstractNum w:abstractNumId="10">
    <w:nsid w:val="37F2225F"/>
    <w:multiLevelType w:val="singleLevel"/>
    <w:tmpl w:val="37F2225F"/>
    <w:lvl w:ilvl="0" w:tentative="0">
      <w:start w:val="1"/>
      <w:numFmt w:val="decimal"/>
      <w:suff w:val="space"/>
      <w:lvlText w:val="%1."/>
      <w:lvlJc w:val="left"/>
    </w:lvl>
  </w:abstractNum>
  <w:abstractNum w:abstractNumId="11">
    <w:nsid w:val="4B34A7BD"/>
    <w:multiLevelType w:val="singleLevel"/>
    <w:tmpl w:val="4B34A7BD"/>
    <w:lvl w:ilvl="0" w:tentative="0">
      <w:start w:val="1"/>
      <w:numFmt w:val="decimal"/>
      <w:suff w:val="space"/>
      <w:lvlText w:val="%1."/>
      <w:lvlJc w:val="left"/>
    </w:lvl>
  </w:abstractNum>
  <w:num w:numId="1">
    <w:abstractNumId w:val="0"/>
  </w:num>
  <w:num w:numId="2">
    <w:abstractNumId w:val="11"/>
  </w:num>
  <w:num w:numId="3">
    <w:abstractNumId w:val="1"/>
  </w:num>
  <w:num w:numId="4">
    <w:abstractNumId w:val="9"/>
  </w:num>
  <w:num w:numId="5">
    <w:abstractNumId w:val="10"/>
  </w:num>
  <w:num w:numId="6">
    <w:abstractNumId w:val="2"/>
  </w:num>
  <w:num w:numId="7">
    <w:abstractNumId w:val="4"/>
  </w:num>
  <w:num w:numId="8">
    <w:abstractNumId w:val="3"/>
  </w:num>
  <w:num w:numId="9">
    <w:abstractNumId w:val="5"/>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7476AC"/>
    <w:rsid w:val="7074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widowControl w:val="0"/>
      <w:spacing w:after="120"/>
      <w:jc w:val="both"/>
    </w:pPr>
    <w:rPr>
      <w:rFonts w:ascii="仿宋_GB2312" w:eastAsia="仿宋_GB2312" w:cs="Times New Roman"/>
      <w:snapToGrid w:val="0"/>
      <w:spacing w:val="6"/>
      <w:kern w:val="2"/>
      <w:sz w:val="30"/>
      <w:szCs w:val="30"/>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区教育局</Company>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2024-04-30T02:52:00Z</dcterms:created>
  <dc:creator>Lin_DF</dc:creator>
  <cp:lastModifiedBy>Lin_DF</cp:lastModifiedBy>
  <dcterms:modified xsi:type="dcterms:W3CDTF">2024-04-30T02:53:02Z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0CEB72C2F5FB4640B61F0650241E48A8</vt:lpwstr>
  </property>
</Properties>
</file>