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21" w:lineRule="atLeast"/>
        <w:jc w:val="center"/>
        <w:textAlignment w:val="baseline"/>
        <w:rPr>
          <w:rFonts w:hint="default" w:cs="宋体"/>
          <w:kern w:val="2"/>
          <w:sz w:val="32"/>
          <w:szCs w:val="32"/>
        </w:rPr>
      </w:pPr>
      <w:r>
        <w:rPr>
          <w:rFonts w:cs="宋体"/>
          <w:kern w:val="2"/>
          <w:sz w:val="32"/>
          <w:szCs w:val="32"/>
        </w:rPr>
        <w:t>广州市市场监督管理局家用燃气热水器产品</w:t>
      </w:r>
      <w:r>
        <w:rPr>
          <w:rFonts w:cs="宋体"/>
          <w:kern w:val="2"/>
          <w:sz w:val="32"/>
          <w:szCs w:val="32"/>
        </w:rPr>
        <w:br w:type="textWrapping"/>
      </w:r>
      <w:r>
        <w:rPr>
          <w:rFonts w:cs="宋体"/>
          <w:kern w:val="2"/>
          <w:sz w:val="32"/>
          <w:szCs w:val="32"/>
        </w:rPr>
        <w:t>质量监督抽查实施细则</w:t>
      </w:r>
      <w:r>
        <w:rPr>
          <w:rFonts w:cs="宋体"/>
          <w:kern w:val="2"/>
          <w:sz w:val="32"/>
          <w:szCs w:val="32"/>
        </w:rPr>
        <w:br w:type="textWrapping"/>
      </w:r>
      <w:r>
        <w:rPr>
          <w:rFonts w:hint="eastAsia" w:cs="宋体"/>
          <w:kern w:val="2"/>
          <w:sz w:val="32"/>
          <w:szCs w:val="32"/>
        </w:rPr>
        <w:t>（2024年5月修订版）</w:t>
      </w:r>
      <w:bookmarkStart w:id="0" w:name="_GoBack"/>
      <w:bookmarkEnd w:id="0"/>
    </w:p>
    <w:p>
      <w:pPr>
        <w:snapToGrid w:val="0"/>
        <w:spacing w:line="440" w:lineRule="exact"/>
        <w:rPr>
          <w:rFonts w:ascii="Times New Roman" w:hAnsi="Times New Roman" w:eastAsia="黑体" w:cs="Times New Roman"/>
          <w:color w:val="000000"/>
          <w:szCs w:val="21"/>
        </w:rPr>
      </w:pPr>
    </w:p>
    <w:p>
      <w:pPr>
        <w:snapToGrid w:val="0"/>
        <w:spacing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1.抽样方法</w:t>
      </w:r>
    </w:p>
    <w:p>
      <w:pPr>
        <w:snapToGrid w:val="0"/>
        <w:spacing w:line="440" w:lineRule="exact"/>
        <w:ind w:firstLine="420" w:firstLineChars="200"/>
        <w:rPr>
          <w:color w:val="000000"/>
          <w:szCs w:val="21"/>
        </w:rPr>
      </w:pPr>
      <w:r>
        <w:rPr>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color w:val="000000"/>
          <w:szCs w:val="21"/>
        </w:rPr>
      </w:pPr>
      <w:r>
        <w:rPr>
          <w:color w:val="000000"/>
          <w:szCs w:val="21"/>
        </w:rPr>
        <w:t>抽查样品基数</w:t>
      </w:r>
      <w:r>
        <w:rPr>
          <w:rFonts w:hint="eastAsia"/>
          <w:color w:val="000000"/>
          <w:szCs w:val="21"/>
        </w:rPr>
        <w:t>应</w:t>
      </w:r>
      <w:r>
        <w:rPr>
          <w:color w:val="000000"/>
          <w:szCs w:val="21"/>
        </w:rPr>
        <w:t>满足抽样数量</w:t>
      </w:r>
      <w:r>
        <w:rPr>
          <w:rFonts w:hint="eastAsia"/>
          <w:color w:val="000000"/>
          <w:szCs w:val="21"/>
        </w:rPr>
        <w:t>要求</w:t>
      </w:r>
      <w:r>
        <w:rPr>
          <w:color w:val="000000"/>
          <w:szCs w:val="21"/>
        </w:rPr>
        <w:t>。</w:t>
      </w:r>
    </w:p>
    <w:p>
      <w:pPr>
        <w:snapToGrid w:val="0"/>
        <w:spacing w:line="440" w:lineRule="exact"/>
        <w:ind w:firstLine="420" w:firstLineChars="200"/>
        <w:rPr>
          <w:color w:val="FF0000"/>
          <w:szCs w:val="21"/>
        </w:rPr>
      </w:pPr>
      <w:r>
        <w:rPr>
          <w:color w:val="FF0000"/>
          <w:szCs w:val="21"/>
        </w:rPr>
        <w:t>每批次产品抽取样品</w:t>
      </w:r>
      <w:r>
        <w:rPr>
          <w:rFonts w:hint="eastAsia"/>
          <w:color w:val="FF0000"/>
          <w:szCs w:val="21"/>
        </w:rPr>
        <w:t>2</w:t>
      </w:r>
      <w:r>
        <w:rPr>
          <w:color w:val="FF0000"/>
          <w:szCs w:val="21"/>
        </w:rPr>
        <w:t>台，其中</w:t>
      </w:r>
      <w:r>
        <w:rPr>
          <w:rFonts w:hint="eastAsia"/>
          <w:color w:val="FF0000"/>
          <w:szCs w:val="21"/>
        </w:rPr>
        <w:t>1</w:t>
      </w:r>
      <w:r>
        <w:rPr>
          <w:color w:val="FF0000"/>
          <w:szCs w:val="21"/>
        </w:rPr>
        <w:t>台作为检验样品，1台作为备用样品。</w:t>
      </w:r>
    </w:p>
    <w:p>
      <w:pPr>
        <w:snapToGrid w:val="0"/>
        <w:spacing w:line="440" w:lineRule="exact"/>
        <w:ind w:firstLine="420" w:firstLineChars="200"/>
        <w:rPr>
          <w:color w:val="000000"/>
          <w:szCs w:val="21"/>
        </w:rPr>
      </w:pPr>
      <w:r>
        <w:rPr>
          <w:color w:val="000000"/>
          <w:szCs w:val="21"/>
        </w:rPr>
        <w:t>随机数一般可使用随机数表、随机数骰子或扑克牌等方法产生。</w:t>
      </w:r>
    </w:p>
    <w:p>
      <w:pPr>
        <w:snapToGrid w:val="0"/>
        <w:spacing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2.检验依据</w:t>
      </w:r>
    </w:p>
    <w:p>
      <w:pPr>
        <w:pStyle w:val="5"/>
        <w:widowControl/>
        <w:shd w:val="clear" w:color="auto" w:fill="FFFFFF"/>
        <w:spacing w:beforeAutospacing="0" w:afterAutospacing="0" w:line="26" w:lineRule="atLeast"/>
        <w:jc w:val="both"/>
        <w:textAlignment w:val="baseline"/>
        <w:rPr>
          <w:rFonts w:cstheme="minorBidi"/>
          <w:color w:val="000000"/>
          <w:kern w:val="2"/>
          <w:sz w:val="21"/>
          <w:szCs w:val="21"/>
        </w:rPr>
      </w:pPr>
      <w:r>
        <w:rPr>
          <w:rFonts w:hint="eastAsia" w:ascii="宋体" w:hAnsi="宋体" w:eastAsia="宋体" w:cs="宋体"/>
          <w:color w:val="333333"/>
          <w:shd w:val="clear" w:color="auto" w:fill="FFFFFF"/>
        </w:rPr>
        <w:t>　　</w:t>
      </w:r>
      <w:r>
        <w:rPr>
          <w:rFonts w:hint="eastAsia" w:cstheme="minorBidi"/>
          <w:color w:val="000000"/>
          <w:kern w:val="2"/>
          <w:sz w:val="21"/>
          <w:szCs w:val="21"/>
        </w:rPr>
        <w:t>本次抽查检验项目和检验方法依据见表1。</w:t>
      </w:r>
    </w:p>
    <w:p>
      <w:pPr>
        <w:pStyle w:val="5"/>
        <w:widowControl/>
        <w:shd w:val="clear" w:color="auto" w:fill="FFFFFF"/>
        <w:spacing w:beforeAutospacing="0" w:afterAutospacing="0" w:line="26" w:lineRule="atLeast"/>
        <w:jc w:val="center"/>
        <w:textAlignment w:val="baseline"/>
        <w:rPr>
          <w:rFonts w:ascii="宋体" w:hAnsi="宋体" w:eastAsia="宋体" w:cs="宋体"/>
          <w:color w:val="333333"/>
        </w:rPr>
      </w:pPr>
      <w:r>
        <w:rPr>
          <w:rFonts w:hint="eastAsia" w:cstheme="minorBidi"/>
          <w:color w:val="000000"/>
          <w:kern w:val="2"/>
          <w:sz w:val="21"/>
          <w:szCs w:val="21"/>
        </w:rPr>
        <w:t>表1检验项目</w:t>
      </w:r>
    </w:p>
    <w:tbl>
      <w:tblPr>
        <w:tblStyle w:val="6"/>
        <w:tblW w:w="7883" w:type="dxa"/>
        <w:jc w:val="center"/>
        <w:shd w:val="clear" w:color="auto" w:fill="FFFFFF"/>
        <w:tblLayout w:type="fixed"/>
        <w:tblCellMar>
          <w:top w:w="0" w:type="dxa"/>
          <w:left w:w="0" w:type="dxa"/>
          <w:bottom w:w="0" w:type="dxa"/>
          <w:right w:w="0" w:type="dxa"/>
        </w:tblCellMar>
      </w:tblPr>
      <w:tblGrid>
        <w:gridCol w:w="814"/>
        <w:gridCol w:w="3097"/>
        <w:gridCol w:w="1986"/>
        <w:gridCol w:w="1986"/>
      </w:tblGrid>
      <w:tr>
        <w:tblPrEx>
          <w:shd w:val="clear" w:color="auto" w:fill="FFFFFF"/>
          <w:tblCellMar>
            <w:top w:w="0" w:type="dxa"/>
            <w:left w:w="0" w:type="dxa"/>
            <w:bottom w:w="0" w:type="dxa"/>
            <w:right w:w="0" w:type="dxa"/>
          </w:tblCellMar>
        </w:tblPrEx>
        <w:trPr>
          <w:trHeight w:val="312" w:hRule="atLeast"/>
          <w:jc w:val="center"/>
        </w:trPr>
        <w:tc>
          <w:tcPr>
            <w:tcW w:w="814" w:type="dxa"/>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序号</w:t>
            </w:r>
          </w:p>
        </w:tc>
        <w:tc>
          <w:tcPr>
            <w:tcW w:w="3097" w:type="dxa"/>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检验项目</w:t>
            </w:r>
          </w:p>
        </w:tc>
        <w:tc>
          <w:tcPr>
            <w:tcW w:w="1986" w:type="dxa"/>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检验依据</w:t>
            </w:r>
          </w:p>
        </w:tc>
        <w:tc>
          <w:tcPr>
            <w:tcW w:w="1986" w:type="dxa"/>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检验方法</w:t>
            </w:r>
          </w:p>
        </w:tc>
      </w:tr>
      <w:tr>
        <w:tblPrEx>
          <w:tblCellMar>
            <w:top w:w="0" w:type="dxa"/>
            <w:left w:w="0" w:type="dxa"/>
            <w:bottom w:w="0" w:type="dxa"/>
            <w:right w:w="0" w:type="dxa"/>
          </w:tblCellMar>
        </w:tblPrEx>
        <w:trPr>
          <w:trHeight w:val="312" w:hRule="atLeast"/>
          <w:jc w:val="center"/>
        </w:trPr>
        <w:tc>
          <w:tcPr>
            <w:tcW w:w="814" w:type="dxa"/>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rPr>
                <w:rFonts w:asciiTheme="minorEastAsia" w:hAnsiTheme="minorEastAsia" w:cstheme="minorEastAsia"/>
                <w:color w:val="333333"/>
                <w:szCs w:val="21"/>
              </w:rPr>
            </w:pPr>
          </w:p>
        </w:tc>
        <w:tc>
          <w:tcPr>
            <w:tcW w:w="3097" w:type="dxa"/>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rPr>
                <w:rFonts w:asciiTheme="minorEastAsia" w:hAnsiTheme="minorEastAsia" w:cstheme="minorEastAsia"/>
                <w:color w:val="333333"/>
                <w:szCs w:val="21"/>
              </w:rPr>
            </w:pPr>
          </w:p>
        </w:tc>
        <w:tc>
          <w:tcPr>
            <w:tcW w:w="1986" w:type="dxa"/>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rPr>
                <w:rFonts w:asciiTheme="minorEastAsia" w:hAnsiTheme="minorEastAsia" w:cstheme="minorEastAsia"/>
                <w:color w:val="333333"/>
                <w:szCs w:val="21"/>
              </w:rPr>
            </w:pPr>
          </w:p>
        </w:tc>
        <w:tc>
          <w:tcPr>
            <w:tcW w:w="1986" w:type="dxa"/>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rPr>
                <w:rFonts w:asciiTheme="minorEastAsia" w:hAnsiTheme="minorEastAsia" w:cstheme="minorEastAsia"/>
                <w:color w:val="333333"/>
                <w:szCs w:val="21"/>
              </w:rPr>
            </w:pPr>
          </w:p>
        </w:tc>
      </w:tr>
      <w:tr>
        <w:tblPrEx>
          <w:shd w:val="clear" w:color="auto" w:fill="FFFFFF"/>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1</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燃气系统气密性</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r>
        <w:tblPrEx>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2</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火焰稳定性</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eastAsia="宋体" w:asciiTheme="minorEastAsia" w:hAnsiTheme="minorEastAsia" w:cstheme="minorEastAsia"/>
                <w:color w:val="333333"/>
                <w:sz w:val="21"/>
                <w:szCs w:val="21"/>
              </w:rPr>
              <w:t>G</w:t>
            </w:r>
            <w:r>
              <w:rPr>
                <w:rFonts w:hint="eastAsia" w:asciiTheme="minorEastAsia" w:hAnsiTheme="minorEastAsia" w:cstheme="minorEastAsia"/>
                <w:color w:val="333333"/>
                <w:sz w:val="21"/>
                <w:szCs w:val="21"/>
              </w:rPr>
              <w:t>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r>
        <w:tblPrEx>
          <w:shd w:val="clear" w:color="auto" w:fill="FFFFFF"/>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3</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color w:val="333333"/>
                <w:sz w:val="21"/>
                <w:szCs w:val="21"/>
              </w:rPr>
            </w:pPr>
            <w:r>
              <w:rPr>
                <w:rFonts w:hint="eastAsia" w:asciiTheme="minorEastAsia" w:hAnsiTheme="minorEastAsia" w:cstheme="minorEastAsia"/>
                <w:color w:val="333333"/>
                <w:sz w:val="21"/>
                <w:szCs w:val="21"/>
              </w:rPr>
              <w:t>燃烧噪声</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r>
        <w:tblPrEx>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4</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color w:val="333333"/>
                <w:sz w:val="21"/>
                <w:szCs w:val="21"/>
              </w:rPr>
            </w:pPr>
            <w:r>
              <w:rPr>
                <w:rFonts w:hint="eastAsia" w:asciiTheme="minorEastAsia" w:hAnsiTheme="minorEastAsia" w:cstheme="minorEastAsia"/>
                <w:color w:val="333333"/>
                <w:sz w:val="21"/>
                <w:szCs w:val="21"/>
              </w:rPr>
              <w:t>熄火噪声</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eastAsia="宋体" w:asciiTheme="minorEastAsia" w:hAnsiTheme="minorEastAsia" w:cstheme="minorEastAsia"/>
                <w:color w:val="333333"/>
                <w:sz w:val="21"/>
                <w:szCs w:val="21"/>
              </w:rPr>
              <w:t>G</w:t>
            </w:r>
            <w:r>
              <w:rPr>
                <w:rFonts w:hint="eastAsia" w:asciiTheme="minorEastAsia" w:hAnsiTheme="minorEastAsia" w:cstheme="minorEastAsia"/>
                <w:color w:val="333333"/>
                <w:sz w:val="21"/>
                <w:szCs w:val="21"/>
              </w:rPr>
              <w:t>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r>
        <w:tblPrEx>
          <w:shd w:val="clear" w:color="auto" w:fill="FFFFFF"/>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5</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无风状态烟气中CO含量</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r>
        <w:tblPrEx>
          <w:shd w:val="clear" w:color="auto" w:fill="FFFFFF"/>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6</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熄火保护装置</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eastAsia="宋体" w:asciiTheme="minorEastAsia" w:hAnsiTheme="minorEastAsia" w:cstheme="minorEastAsia"/>
                <w:color w:val="333333"/>
                <w:sz w:val="21"/>
                <w:szCs w:val="21"/>
              </w:rPr>
              <w:t>G</w:t>
            </w:r>
            <w:r>
              <w:rPr>
                <w:rFonts w:hint="eastAsia" w:asciiTheme="minorEastAsia" w:hAnsiTheme="minorEastAsia" w:cstheme="minorEastAsia"/>
                <w:color w:val="333333"/>
                <w:sz w:val="21"/>
                <w:szCs w:val="21"/>
              </w:rPr>
              <w:t>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r>
        <w:tblPrEx>
          <w:shd w:val="clear" w:color="auto" w:fill="FFFFFF"/>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7</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烟道堵塞安全装置（强制排气式）</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r>
        <w:tblPrEx>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8</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风压过大安全装置（强制排气式）</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eastAsia="宋体" w:asciiTheme="minorEastAsia" w:hAnsiTheme="minorEastAsia" w:cstheme="minorEastAsia"/>
                <w:color w:val="333333"/>
                <w:sz w:val="21"/>
                <w:szCs w:val="21"/>
              </w:rPr>
              <w:t>G</w:t>
            </w:r>
            <w:r>
              <w:rPr>
                <w:rFonts w:hint="eastAsia" w:asciiTheme="minorEastAsia" w:hAnsiTheme="minorEastAsia" w:cstheme="minorEastAsia"/>
                <w:color w:val="333333"/>
                <w:sz w:val="21"/>
                <w:szCs w:val="21"/>
              </w:rPr>
              <w:t>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r>
        <w:tblPrEx>
          <w:shd w:val="clear" w:color="auto" w:fill="FFFFFF"/>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9</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防干烧安全装置</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r>
        <w:tblPrEx>
          <w:shd w:val="clear" w:color="auto" w:fill="FFFFFF"/>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10</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防止不完全燃烧安全装置（自然排气式）</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eastAsia="宋体" w:asciiTheme="minorEastAsia" w:hAnsiTheme="minorEastAsia" w:cstheme="minorEastAsia"/>
                <w:color w:val="333333"/>
                <w:sz w:val="21"/>
                <w:szCs w:val="21"/>
              </w:rPr>
              <w:t>G</w:t>
            </w:r>
            <w:r>
              <w:rPr>
                <w:rFonts w:hint="eastAsia" w:asciiTheme="minorEastAsia" w:hAnsiTheme="minorEastAsia" w:cstheme="minorEastAsia"/>
                <w:color w:val="333333"/>
                <w:sz w:val="21"/>
                <w:szCs w:val="21"/>
              </w:rPr>
              <w:t>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r>
        <w:tblPrEx>
          <w:shd w:val="clear" w:color="auto" w:fill="FFFFFF"/>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11</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接地措施</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r>
        <w:tblPrEx>
          <w:shd w:val="clear" w:color="auto" w:fill="FFFFFF"/>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12</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电气强度</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eastAsia="宋体" w:asciiTheme="minorEastAsia" w:hAnsiTheme="minorEastAsia" w:cstheme="minorEastAsia"/>
                <w:color w:val="333333"/>
                <w:sz w:val="21"/>
                <w:szCs w:val="21"/>
              </w:rPr>
              <w:t>G</w:t>
            </w:r>
            <w:r>
              <w:rPr>
                <w:rFonts w:hint="eastAsia" w:asciiTheme="minorEastAsia" w:hAnsiTheme="minorEastAsia" w:cstheme="minorEastAsia"/>
                <w:color w:val="333333"/>
                <w:sz w:val="21"/>
                <w:szCs w:val="21"/>
              </w:rPr>
              <w:t>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r>
        <w:tblPrEx>
          <w:shd w:val="clear" w:color="auto" w:fill="FFFFFF"/>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13</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热效率</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20665</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20665</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r>
        <w:tblPrEx>
          <w:tblCellMar>
            <w:top w:w="0" w:type="dxa"/>
            <w:left w:w="0" w:type="dxa"/>
            <w:bottom w:w="0" w:type="dxa"/>
            <w:right w:w="0" w:type="dxa"/>
          </w:tblCellMar>
        </w:tblPrEx>
        <w:trPr>
          <w:jc w:val="center"/>
        </w:trPr>
        <w:tc>
          <w:tcPr>
            <w:tcW w:w="81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14</w:t>
            </w:r>
          </w:p>
        </w:tc>
        <w:tc>
          <w:tcPr>
            <w:tcW w:w="309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热水产率</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color w:val="333333"/>
                <w:sz w:val="21"/>
                <w:szCs w:val="21"/>
              </w:rPr>
              <w:t>GB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c>
          <w:tcPr>
            <w:tcW w:w="198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eastAsia="宋体" w:asciiTheme="minorEastAsia" w:hAnsiTheme="minorEastAsia" w:cstheme="minorEastAsia"/>
                <w:color w:val="333333"/>
                <w:sz w:val="21"/>
                <w:szCs w:val="21"/>
              </w:rPr>
              <w:t>G</w:t>
            </w:r>
            <w:r>
              <w:rPr>
                <w:rFonts w:hint="eastAsia" w:asciiTheme="minorEastAsia" w:hAnsiTheme="minorEastAsia" w:cstheme="minorEastAsia"/>
                <w:color w:val="333333"/>
                <w:sz w:val="21"/>
                <w:szCs w:val="21"/>
              </w:rPr>
              <w:t>B 6932</w:t>
            </w:r>
            <w:r>
              <w:rPr>
                <w:rFonts w:hint="eastAsia" w:asciiTheme="minorEastAsia" w:hAnsiTheme="minorEastAsia" w:cstheme="minorEastAsia"/>
                <w:color w:val="333333"/>
                <w:sz w:val="21"/>
              </w:rPr>
              <w:t>—</w:t>
            </w:r>
            <w:r>
              <w:rPr>
                <w:rFonts w:hint="eastAsia" w:asciiTheme="minorEastAsia" w:hAnsiTheme="minorEastAsia" w:cstheme="minorEastAsia"/>
                <w:color w:val="333333"/>
                <w:sz w:val="21"/>
                <w:szCs w:val="21"/>
              </w:rPr>
              <w:t>2015</w:t>
            </w:r>
          </w:p>
        </w:tc>
      </w:tr>
    </w:tbl>
    <w:p>
      <w:pPr>
        <w:pStyle w:val="5"/>
        <w:widowControl/>
        <w:shd w:val="clear" w:color="auto" w:fill="FFFFFF"/>
        <w:spacing w:beforeAutospacing="0" w:afterAutospacing="0" w:line="26" w:lineRule="atLeast"/>
        <w:jc w:val="both"/>
        <w:textAlignment w:val="baseline"/>
        <w:rPr>
          <w:rFonts w:cstheme="minorBidi"/>
          <w:color w:val="000000"/>
          <w:kern w:val="2"/>
          <w:sz w:val="21"/>
          <w:szCs w:val="21"/>
        </w:rPr>
      </w:pPr>
      <w:r>
        <w:rPr>
          <w:rFonts w:hint="eastAsia" w:ascii="宋体" w:hAnsi="宋体" w:eastAsia="宋体" w:cs="宋体"/>
          <w:color w:val="333333"/>
          <w:shd w:val="clear" w:color="auto" w:fill="FFFFFF"/>
        </w:rPr>
        <w:t>　　</w:t>
      </w:r>
      <w:r>
        <w:rPr>
          <w:rFonts w:hint="eastAsia" w:cstheme="minorBidi"/>
          <w:color w:val="000000"/>
          <w:kern w:val="2"/>
          <w:sz w:val="21"/>
          <w:szCs w:val="21"/>
        </w:rPr>
        <w:t>注：凡是注日期的文件，其随后所有的修改单（不包括勘误的内容）或修订版不适用于本细则。凡是不注日期的文件，其最新版本适用于本细则。</w:t>
      </w:r>
    </w:p>
    <w:p>
      <w:pPr>
        <w:snapToGrid w:val="0"/>
        <w:spacing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3.判定规则</w:t>
      </w:r>
    </w:p>
    <w:p>
      <w:pPr>
        <w:snapToGrid w:val="0"/>
        <w:spacing w:line="360" w:lineRule="auto"/>
        <w:jc w:val="left"/>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3.1依据标准</w:t>
      </w:r>
    </w:p>
    <w:p>
      <w:pPr>
        <w:snapToGrid w:val="0"/>
        <w:spacing w:line="360" w:lineRule="auto"/>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　　GB 6932</w:t>
      </w:r>
      <w:r>
        <w:rPr>
          <w:rFonts w:hint="eastAsia" w:asciiTheme="minorEastAsia" w:hAnsiTheme="minorEastAsia" w:cstheme="minorEastAsia"/>
          <w:color w:val="333333"/>
        </w:rPr>
        <w:t>—</w:t>
      </w:r>
      <w:r>
        <w:rPr>
          <w:rFonts w:hint="eastAsia" w:ascii="宋体" w:hAnsi="宋体" w:eastAsia="宋体" w:cs="宋体"/>
          <w:color w:val="333333"/>
          <w:szCs w:val="21"/>
          <w:shd w:val="clear" w:color="auto" w:fill="FFFFFF"/>
        </w:rPr>
        <w:t>2015家用燃气快速热水器</w:t>
      </w:r>
    </w:p>
    <w:p>
      <w:pPr>
        <w:snapToGrid w:val="0"/>
        <w:spacing w:line="360" w:lineRule="auto"/>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　　GB 20665</w:t>
      </w:r>
      <w:r>
        <w:rPr>
          <w:rFonts w:hint="eastAsia" w:asciiTheme="minorEastAsia" w:hAnsiTheme="minorEastAsia" w:cstheme="minorEastAsia"/>
          <w:color w:val="333333"/>
        </w:rPr>
        <w:t>—</w:t>
      </w:r>
      <w:r>
        <w:rPr>
          <w:rFonts w:hint="eastAsia" w:ascii="宋体" w:hAnsi="宋体" w:eastAsia="宋体" w:cs="宋体"/>
          <w:color w:val="333333"/>
          <w:szCs w:val="21"/>
          <w:shd w:val="clear" w:color="auto" w:fill="FFFFFF"/>
        </w:rPr>
        <w:t>2015家用燃气快速热水器和燃气采暖热水炉能效限定值及能效等级</w:t>
      </w:r>
    </w:p>
    <w:p>
      <w:pPr>
        <w:snapToGrid w:val="0"/>
        <w:spacing w:line="360" w:lineRule="auto"/>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　　现行有效的企业标准、团体标准、地方标准及产品明示质量要求</w:t>
      </w:r>
    </w:p>
    <w:p>
      <w:pPr>
        <w:snapToGrid w:val="0"/>
        <w:spacing w:line="360" w:lineRule="auto"/>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3.2判定原则</w:t>
      </w:r>
    </w:p>
    <w:p>
      <w:pPr>
        <w:snapToGrid w:val="0"/>
        <w:spacing w:line="360" w:lineRule="auto"/>
        <w:ind w:firstLine="420" w:firstLineChars="2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经检验，检验项目全部合格，判定为被抽查产品所检项目未发现不合格；检验项目中任一项或一项以上不合格，判定为被抽查产品不合格。</w:t>
      </w:r>
    </w:p>
    <w:p>
      <w:pPr>
        <w:snapToGrid w:val="0"/>
        <w:spacing w:line="360" w:lineRule="auto"/>
        <w:ind w:firstLine="420" w:firstLineChars="2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若被检产品明示的质量要求高于本细则中检验项目依据的标准要求时，应按被检产品明示的质量要求判定。</w:t>
      </w:r>
    </w:p>
    <w:p>
      <w:pPr>
        <w:snapToGrid w:val="0"/>
        <w:spacing w:line="360" w:lineRule="auto"/>
        <w:ind w:firstLine="420" w:firstLineChars="2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若被检产品明示的质量要求低于本细则中检验项目依据的强制性标准要求时，应按照强制性标准要求判定。</w:t>
      </w:r>
    </w:p>
    <w:p>
      <w:pPr>
        <w:snapToGrid w:val="0"/>
        <w:spacing w:line="360" w:lineRule="auto"/>
        <w:ind w:firstLine="420" w:firstLineChars="2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若被检产品明示的质量要求低于或包含本细则中检验项目依据的推荐性标准要求时，应以被检产品明示的质量要求判定。</w:t>
      </w:r>
    </w:p>
    <w:p>
      <w:pPr>
        <w:snapToGrid w:val="0"/>
        <w:spacing w:line="360" w:lineRule="auto"/>
        <w:ind w:firstLine="420" w:firstLineChars="2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若被检产品明示的质量要求缺少本细则中检验项目依据的强制性标准要求时，应按照强制性标准要求判定。</w:t>
      </w:r>
    </w:p>
    <w:p>
      <w:pPr>
        <w:snapToGrid w:val="0"/>
        <w:spacing w:line="360" w:lineRule="auto"/>
        <w:ind w:firstLine="420" w:firstLineChars="200"/>
        <w:rPr>
          <w:rFonts w:ascii="宋体" w:hAnsi="宋体" w:eastAsia="宋体" w:cs="宋体"/>
          <w:color w:val="333333"/>
          <w:szCs w:val="21"/>
          <w:shd w:val="clear" w:color="auto" w:fill="FFFFFF"/>
        </w:rPr>
      </w:pPr>
      <w:r>
        <w:rPr>
          <w:rFonts w:hint="eastAsia" w:ascii="宋体" w:hAnsi="宋体" w:eastAsia="宋体" w:cs="宋体"/>
          <w:color w:val="333333"/>
          <w:szCs w:val="21"/>
          <w:shd w:val="clear" w:color="auto" w:fill="FFFFFF"/>
        </w:rPr>
        <w:t>若被检产品明示的质量要求缺少本细则中检验项目依据的推荐性标准要求时，该项目不参与判定。</w:t>
      </w:r>
    </w:p>
    <w:p>
      <w:pPr>
        <w:snapToGrid w:val="0"/>
        <w:spacing w:line="360" w:lineRule="auto"/>
        <w:rPr>
          <w:rFonts w:ascii="宋体" w:hAnsi="宋体" w:eastAsia="宋体" w:cs="宋体"/>
          <w:color w:val="333333"/>
          <w:szCs w:val="21"/>
          <w:shd w:val="clear" w:color="auto" w:fill="FFFFFF"/>
        </w:rPr>
      </w:pPr>
    </w:p>
    <w:p>
      <w:pPr>
        <w:snapToGrid w:val="0"/>
        <w:spacing w:line="360" w:lineRule="auto"/>
        <w:rPr>
          <w:rFonts w:ascii="宋体" w:hAnsi="宋体" w:eastAsia="宋体" w:cs="宋体"/>
          <w:color w:val="333333"/>
          <w:szCs w:val="21"/>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kwM2Q4M2Y1MzJmYWRhNzNiOWY2NzdmOTdmN2IifQ=="/>
  </w:docVars>
  <w:rsids>
    <w:rsidRoot w:val="00C56798"/>
    <w:rsid w:val="00455DED"/>
    <w:rsid w:val="00561E30"/>
    <w:rsid w:val="00614A47"/>
    <w:rsid w:val="00927410"/>
    <w:rsid w:val="00AD69F7"/>
    <w:rsid w:val="00B20447"/>
    <w:rsid w:val="00BE49A0"/>
    <w:rsid w:val="00C56798"/>
    <w:rsid w:val="00D25B62"/>
    <w:rsid w:val="124631F1"/>
    <w:rsid w:val="15F7422B"/>
    <w:rsid w:val="1F2E5039"/>
    <w:rsid w:val="32A926DF"/>
    <w:rsid w:val="33621A0A"/>
    <w:rsid w:val="395801B3"/>
    <w:rsid w:val="3A2F1750"/>
    <w:rsid w:val="48232BEB"/>
    <w:rsid w:val="4AA70CA7"/>
    <w:rsid w:val="5AB90069"/>
    <w:rsid w:val="68725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2</Pages>
  <Words>187</Words>
  <Characters>1072</Characters>
  <Lines>8</Lines>
  <Paragraphs>2</Paragraphs>
  <TotalTime>1</TotalTime>
  <ScaleCrop>false</ScaleCrop>
  <LinksUpToDate>false</LinksUpToDate>
  <CharactersWithSpaces>1257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2024-02-19T02:37:00Z</dcterms:created>
  <dc:creator>JYJD</dc:creator>
  <cp:lastModifiedBy>李仲唐</cp:lastModifiedBy>
  <dcterms:modified xsi:type="dcterms:W3CDTF">2024-05-30T08:25:28Z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B4247A4195D14D58AD0E5AAE82AD4AF1</vt:lpwstr>
  </property>
</Properties>
</file>