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beforeAutospacing="0" w:afterAutospacing="0" w:line="21" w:lineRule="atLeast"/>
        <w:jc w:val="center"/>
        <w:textAlignment w:val="baseline"/>
        <w:rPr>
          <w:rFonts w:hint="default" w:cs="宋体"/>
          <w:kern w:val="2"/>
          <w:sz w:val="32"/>
          <w:szCs w:val="32"/>
        </w:rPr>
      </w:pPr>
      <w:r>
        <w:rPr>
          <w:rFonts w:cs="宋体"/>
          <w:kern w:val="2"/>
          <w:sz w:val="32"/>
          <w:szCs w:val="32"/>
        </w:rPr>
        <w:t>广州市市场监督管理局家用燃气灶产品</w:t>
      </w:r>
      <w:r>
        <w:rPr>
          <w:rFonts w:cs="宋体"/>
          <w:kern w:val="2"/>
          <w:sz w:val="32"/>
          <w:szCs w:val="32"/>
        </w:rPr>
        <w:br w:type="textWrapping"/>
      </w:r>
      <w:bookmarkStart w:id="0" w:name="_GoBack"/>
      <w:bookmarkEnd w:id="0"/>
      <w:r>
        <w:rPr>
          <w:rFonts w:cs="宋体"/>
          <w:kern w:val="2"/>
          <w:sz w:val="32"/>
          <w:szCs w:val="32"/>
        </w:rPr>
        <w:t>质量监督抽查实施细则</w:t>
      </w:r>
      <w:r>
        <w:rPr>
          <w:rFonts w:cs="宋体"/>
          <w:kern w:val="2"/>
          <w:sz w:val="32"/>
          <w:szCs w:val="32"/>
        </w:rPr>
        <w:br w:type="textWrapping"/>
      </w:r>
      <w:r>
        <w:rPr>
          <w:rFonts w:hint="eastAsia" w:cs="宋体"/>
          <w:kern w:val="2"/>
          <w:sz w:val="32"/>
          <w:szCs w:val="32"/>
        </w:rPr>
        <w:t>（2024年5月修订版）</w:t>
      </w:r>
    </w:p>
    <w:p>
      <w:pPr>
        <w:snapToGrid w:val="0"/>
        <w:spacing w:line="440" w:lineRule="exact"/>
        <w:rPr>
          <w:rFonts w:eastAsia="黑体"/>
          <w:color w:val="000000"/>
        </w:rPr>
      </w:pPr>
      <w:r>
        <w:rPr>
          <w:rFonts w:hint="eastAsia" w:eastAsia="黑体"/>
          <w:color w:val="000000"/>
        </w:rPr>
        <w:t>1.抽样方法</w:t>
      </w:r>
    </w:p>
    <w:p>
      <w:pPr>
        <w:snapToGrid w:val="0"/>
        <w:spacing w:line="440" w:lineRule="exact"/>
        <w:ind w:firstLine="420" w:firstLineChars="200"/>
        <w:rPr>
          <w:color w:val="000000"/>
        </w:rPr>
      </w:pPr>
      <w:r>
        <w:rPr>
          <w:color w:val="000000"/>
        </w:rPr>
        <w:t>在企业的待销产品中随机抽取有产品质量检验合格证明或者以其他形式表明合格的、近期生产的产品。</w:t>
      </w:r>
    </w:p>
    <w:p>
      <w:pPr>
        <w:snapToGrid w:val="0"/>
        <w:spacing w:line="440" w:lineRule="exact"/>
        <w:ind w:firstLine="420" w:firstLineChars="200"/>
        <w:rPr>
          <w:color w:val="000000"/>
        </w:rPr>
      </w:pPr>
      <w:r>
        <w:rPr>
          <w:color w:val="000000"/>
        </w:rPr>
        <w:t>抽查样品基数</w:t>
      </w:r>
      <w:r>
        <w:rPr>
          <w:rFonts w:hint="eastAsia"/>
          <w:color w:val="000000"/>
        </w:rPr>
        <w:t>应</w:t>
      </w:r>
      <w:r>
        <w:rPr>
          <w:color w:val="000000"/>
        </w:rPr>
        <w:t>满足抽样数量</w:t>
      </w:r>
      <w:r>
        <w:rPr>
          <w:rFonts w:hint="eastAsia"/>
          <w:color w:val="000000"/>
        </w:rPr>
        <w:t>要求</w:t>
      </w:r>
      <w:r>
        <w:rPr>
          <w:color w:val="000000"/>
        </w:rPr>
        <w:t>。</w:t>
      </w:r>
    </w:p>
    <w:p>
      <w:pPr>
        <w:snapToGrid w:val="0"/>
        <w:spacing w:line="440" w:lineRule="exact"/>
        <w:ind w:firstLine="420" w:firstLineChars="200"/>
        <w:rPr>
          <w:color w:val="FF0000"/>
        </w:rPr>
      </w:pPr>
      <w:r>
        <w:rPr>
          <w:color w:val="FF0000"/>
        </w:rPr>
        <w:t>每批次产品抽取样品</w:t>
      </w:r>
      <w:r>
        <w:rPr>
          <w:rFonts w:hint="eastAsia"/>
          <w:color w:val="FF0000"/>
        </w:rPr>
        <w:t>2</w:t>
      </w:r>
      <w:r>
        <w:rPr>
          <w:color w:val="FF0000"/>
        </w:rPr>
        <w:t>台，其中</w:t>
      </w:r>
      <w:r>
        <w:rPr>
          <w:rFonts w:hint="eastAsia"/>
          <w:color w:val="FF0000"/>
        </w:rPr>
        <w:t>1</w:t>
      </w:r>
      <w:r>
        <w:rPr>
          <w:color w:val="FF0000"/>
        </w:rPr>
        <w:t>台作为检验样品，1台作为备用样品。</w:t>
      </w:r>
    </w:p>
    <w:p>
      <w:pPr>
        <w:snapToGrid w:val="0"/>
        <w:spacing w:line="440" w:lineRule="exact"/>
        <w:ind w:firstLine="420" w:firstLineChars="200"/>
        <w:rPr>
          <w:color w:val="000000"/>
        </w:rPr>
      </w:pPr>
      <w:r>
        <w:rPr>
          <w:color w:val="000000"/>
        </w:rPr>
        <w:t>随机数一般可使用随机数表、随机数骰子或扑克牌等方法产生。</w:t>
      </w:r>
    </w:p>
    <w:p>
      <w:pPr>
        <w:snapToGrid w:val="0"/>
        <w:spacing w:line="440" w:lineRule="exact"/>
        <w:rPr>
          <w:rFonts w:eastAsia="黑体"/>
          <w:color w:val="000000"/>
        </w:rPr>
      </w:pPr>
      <w:r>
        <w:rPr>
          <w:rFonts w:hint="eastAsia" w:eastAsia="黑体"/>
          <w:color w:val="000000"/>
        </w:rPr>
        <w:t>2.检验依据</w:t>
      </w:r>
    </w:p>
    <w:p>
      <w:pPr>
        <w:pStyle w:val="8"/>
        <w:widowControl/>
        <w:shd w:val="clear" w:color="auto" w:fill="FFFFFF"/>
        <w:spacing w:beforeAutospacing="0" w:afterAutospacing="0" w:line="360" w:lineRule="auto"/>
        <w:ind w:firstLine="420" w:firstLineChars="200"/>
        <w:jc w:val="both"/>
        <w:textAlignment w:val="baseline"/>
        <w:rPr>
          <w:rFonts w:ascii="宋体" w:hAnsi="宋体" w:cs="宋体"/>
          <w:color w:val="333333"/>
          <w:sz w:val="21"/>
          <w:shd w:val="clear" w:color="auto" w:fill="FFFFFF"/>
        </w:rPr>
      </w:pPr>
      <w:r>
        <w:rPr>
          <w:rFonts w:hint="eastAsia" w:ascii="宋体" w:hAnsi="宋体" w:cs="宋体"/>
          <w:color w:val="333333"/>
          <w:sz w:val="21"/>
          <w:shd w:val="clear" w:color="auto" w:fill="FFFFFF"/>
        </w:rPr>
        <w:t>本次抽查检验项目和检验方法依据见表1。</w:t>
      </w:r>
    </w:p>
    <w:p>
      <w:pPr>
        <w:pStyle w:val="8"/>
        <w:widowControl/>
        <w:shd w:val="clear" w:color="auto" w:fill="FFFFFF"/>
        <w:spacing w:beforeAutospacing="0" w:afterAutospacing="0" w:line="360" w:lineRule="auto"/>
        <w:ind w:firstLine="420" w:firstLineChars="200"/>
        <w:jc w:val="center"/>
        <w:textAlignment w:val="baseline"/>
        <w:rPr>
          <w:rFonts w:ascii="宋体" w:hAnsi="宋体" w:cs="宋体"/>
          <w:color w:val="333333"/>
          <w:sz w:val="21"/>
          <w:shd w:val="clear" w:color="auto" w:fill="FFFFFF"/>
        </w:rPr>
      </w:pPr>
      <w:r>
        <w:rPr>
          <w:rFonts w:hint="eastAsia" w:ascii="宋体" w:hAnsi="宋体" w:cs="宋体"/>
          <w:color w:val="333333"/>
          <w:sz w:val="21"/>
          <w:shd w:val="clear" w:color="auto" w:fill="FFFFFF"/>
        </w:rPr>
        <w:t>表1检验项目</w:t>
      </w:r>
    </w:p>
    <w:tbl>
      <w:tblPr>
        <w:tblStyle w:val="9"/>
        <w:tblW w:w="7863" w:type="dxa"/>
        <w:jc w:val="center"/>
        <w:shd w:val="clear" w:color="auto" w:fill="FFFFFF"/>
        <w:tblLayout w:type="fixed"/>
        <w:tblCellMar>
          <w:top w:w="0" w:type="dxa"/>
          <w:left w:w="0" w:type="dxa"/>
          <w:bottom w:w="0" w:type="dxa"/>
          <w:right w:w="0" w:type="dxa"/>
        </w:tblCellMar>
      </w:tblPr>
      <w:tblGrid>
        <w:gridCol w:w="810"/>
        <w:gridCol w:w="3123"/>
        <w:gridCol w:w="1970"/>
        <w:gridCol w:w="1960"/>
      </w:tblGrid>
      <w:tr>
        <w:tblPrEx>
          <w:shd w:val="clear" w:color="auto" w:fill="FFFFFF"/>
          <w:tblCellMar>
            <w:top w:w="0" w:type="dxa"/>
            <w:left w:w="0" w:type="dxa"/>
            <w:bottom w:w="0" w:type="dxa"/>
            <w:right w:w="0" w:type="dxa"/>
          </w:tblCellMar>
        </w:tblPrEx>
        <w:trPr>
          <w:trHeight w:val="312" w:hRule="atLeast"/>
          <w:jc w:val="center"/>
        </w:trPr>
        <w:tc>
          <w:tcPr>
            <w:tcW w:w="810" w:type="dxa"/>
            <w:vMerge w:val="restart"/>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both"/>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序号</w:t>
            </w:r>
          </w:p>
        </w:tc>
        <w:tc>
          <w:tcPr>
            <w:tcW w:w="3123" w:type="dxa"/>
            <w:vMerge w:val="restart"/>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both"/>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检验项目</w:t>
            </w:r>
          </w:p>
        </w:tc>
        <w:tc>
          <w:tcPr>
            <w:tcW w:w="1970" w:type="dxa"/>
            <w:vMerge w:val="restart"/>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both"/>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检验依据</w:t>
            </w:r>
          </w:p>
        </w:tc>
        <w:tc>
          <w:tcPr>
            <w:tcW w:w="1960" w:type="dxa"/>
            <w:vMerge w:val="restart"/>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both"/>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检验方法</w:t>
            </w:r>
          </w:p>
        </w:tc>
      </w:tr>
      <w:tr>
        <w:tblPrEx>
          <w:shd w:val="clear" w:color="auto" w:fill="FFFFFF"/>
          <w:tblCellMar>
            <w:top w:w="0" w:type="dxa"/>
            <w:left w:w="0" w:type="dxa"/>
            <w:bottom w:w="0" w:type="dxa"/>
            <w:right w:w="0" w:type="dxa"/>
          </w:tblCellMar>
        </w:tblPrEx>
        <w:trPr>
          <w:trHeight w:val="312" w:hRule="atLeast"/>
          <w:jc w:val="center"/>
        </w:trPr>
        <w:tc>
          <w:tcPr>
            <w:tcW w:w="810" w:type="dxa"/>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rPr>
                <w:rFonts w:asciiTheme="minorEastAsia" w:hAnsiTheme="minorEastAsia" w:eastAsiaTheme="minorEastAsia" w:cstheme="minorEastAsia"/>
                <w:color w:val="333333"/>
              </w:rPr>
            </w:pPr>
          </w:p>
        </w:tc>
        <w:tc>
          <w:tcPr>
            <w:tcW w:w="3123" w:type="dxa"/>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rPr>
                <w:rFonts w:asciiTheme="minorEastAsia" w:hAnsiTheme="minorEastAsia" w:eastAsiaTheme="minorEastAsia" w:cstheme="minorEastAsia"/>
                <w:color w:val="333333"/>
              </w:rPr>
            </w:pPr>
          </w:p>
        </w:tc>
        <w:tc>
          <w:tcPr>
            <w:tcW w:w="1970" w:type="dxa"/>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rPr>
                <w:rFonts w:asciiTheme="minorEastAsia" w:hAnsiTheme="minorEastAsia" w:eastAsiaTheme="minorEastAsia" w:cstheme="minorEastAsia"/>
                <w:color w:val="333333"/>
              </w:rPr>
            </w:pPr>
          </w:p>
        </w:tc>
        <w:tc>
          <w:tcPr>
            <w:tcW w:w="1960" w:type="dxa"/>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rPr>
                <w:rFonts w:asciiTheme="minorEastAsia" w:hAnsiTheme="minorEastAsia" w:eastAsiaTheme="minorEastAsia" w:cstheme="minorEastAsia"/>
                <w:color w:val="333333"/>
              </w:rPr>
            </w:pPr>
          </w:p>
        </w:tc>
      </w:tr>
      <w:tr>
        <w:tblPrEx>
          <w:shd w:val="clear" w:color="auto" w:fill="FFFFFF"/>
          <w:tblCellMar>
            <w:top w:w="0" w:type="dxa"/>
            <w:left w:w="0" w:type="dxa"/>
            <w:bottom w:w="0" w:type="dxa"/>
            <w:right w:w="0" w:type="dxa"/>
          </w:tblCellMar>
        </w:tblPrEx>
        <w:trPr>
          <w:jc w:val="center"/>
        </w:trPr>
        <w:tc>
          <w:tcPr>
            <w:tcW w:w="81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1</w:t>
            </w:r>
          </w:p>
        </w:tc>
        <w:tc>
          <w:tcPr>
            <w:tcW w:w="3123"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气密性</w:t>
            </w:r>
          </w:p>
        </w:tc>
        <w:tc>
          <w:tcPr>
            <w:tcW w:w="197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GB 16410—2007</w:t>
            </w:r>
          </w:p>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GB 16410—2020</w:t>
            </w:r>
          </w:p>
        </w:tc>
        <w:tc>
          <w:tcPr>
            <w:tcW w:w="196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GB 16410—2007</w:t>
            </w:r>
          </w:p>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GB 16410—2020</w:t>
            </w:r>
          </w:p>
        </w:tc>
      </w:tr>
      <w:tr>
        <w:tblPrEx>
          <w:shd w:val="clear" w:color="auto" w:fill="FFFFFF"/>
          <w:tblCellMar>
            <w:top w:w="0" w:type="dxa"/>
            <w:left w:w="0" w:type="dxa"/>
            <w:bottom w:w="0" w:type="dxa"/>
            <w:right w:w="0" w:type="dxa"/>
          </w:tblCellMar>
        </w:tblPrEx>
        <w:trPr>
          <w:jc w:val="center"/>
        </w:trPr>
        <w:tc>
          <w:tcPr>
            <w:tcW w:w="81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2</w:t>
            </w:r>
          </w:p>
        </w:tc>
        <w:tc>
          <w:tcPr>
            <w:tcW w:w="3123"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热负荷</w:t>
            </w:r>
          </w:p>
        </w:tc>
        <w:tc>
          <w:tcPr>
            <w:tcW w:w="197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GB 16410—2007</w:t>
            </w:r>
          </w:p>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GB 16410—2020</w:t>
            </w:r>
          </w:p>
        </w:tc>
        <w:tc>
          <w:tcPr>
            <w:tcW w:w="196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GB 16410—2007</w:t>
            </w:r>
          </w:p>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GB 16410—2020</w:t>
            </w:r>
          </w:p>
        </w:tc>
      </w:tr>
      <w:tr>
        <w:tblPrEx>
          <w:tblCellMar>
            <w:top w:w="0" w:type="dxa"/>
            <w:left w:w="0" w:type="dxa"/>
            <w:bottom w:w="0" w:type="dxa"/>
            <w:right w:w="0" w:type="dxa"/>
          </w:tblCellMar>
        </w:tblPrEx>
        <w:trPr>
          <w:jc w:val="center"/>
        </w:trPr>
        <w:tc>
          <w:tcPr>
            <w:tcW w:w="81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3</w:t>
            </w:r>
          </w:p>
        </w:tc>
        <w:tc>
          <w:tcPr>
            <w:tcW w:w="3123"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离焰</w:t>
            </w:r>
          </w:p>
        </w:tc>
        <w:tc>
          <w:tcPr>
            <w:tcW w:w="197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GB 16410—2007</w:t>
            </w:r>
          </w:p>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GB 16410—2020</w:t>
            </w:r>
          </w:p>
        </w:tc>
        <w:tc>
          <w:tcPr>
            <w:tcW w:w="196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GB 16410—2007</w:t>
            </w:r>
          </w:p>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GB 16410—2020</w:t>
            </w:r>
          </w:p>
        </w:tc>
      </w:tr>
      <w:tr>
        <w:tblPrEx>
          <w:shd w:val="clear" w:color="auto" w:fill="FFFFFF"/>
          <w:tblCellMar>
            <w:top w:w="0" w:type="dxa"/>
            <w:left w:w="0" w:type="dxa"/>
            <w:bottom w:w="0" w:type="dxa"/>
            <w:right w:w="0" w:type="dxa"/>
          </w:tblCellMar>
        </w:tblPrEx>
        <w:trPr>
          <w:jc w:val="center"/>
        </w:trPr>
        <w:tc>
          <w:tcPr>
            <w:tcW w:w="81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4</w:t>
            </w:r>
          </w:p>
        </w:tc>
        <w:tc>
          <w:tcPr>
            <w:tcW w:w="3123"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熄火</w:t>
            </w:r>
          </w:p>
        </w:tc>
        <w:tc>
          <w:tcPr>
            <w:tcW w:w="197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GB 16410—2007</w:t>
            </w:r>
          </w:p>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GB 16410—2020</w:t>
            </w:r>
          </w:p>
        </w:tc>
        <w:tc>
          <w:tcPr>
            <w:tcW w:w="196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GB 16410—2007</w:t>
            </w:r>
          </w:p>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GB 16410—2020</w:t>
            </w:r>
          </w:p>
        </w:tc>
      </w:tr>
      <w:tr>
        <w:tblPrEx>
          <w:shd w:val="clear" w:color="auto" w:fill="FFFFFF"/>
          <w:tblCellMar>
            <w:top w:w="0" w:type="dxa"/>
            <w:left w:w="0" w:type="dxa"/>
            <w:bottom w:w="0" w:type="dxa"/>
            <w:right w:w="0" w:type="dxa"/>
          </w:tblCellMar>
        </w:tblPrEx>
        <w:trPr>
          <w:jc w:val="center"/>
        </w:trPr>
        <w:tc>
          <w:tcPr>
            <w:tcW w:w="81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5</w:t>
            </w:r>
          </w:p>
        </w:tc>
        <w:tc>
          <w:tcPr>
            <w:tcW w:w="3123"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回火</w:t>
            </w:r>
          </w:p>
        </w:tc>
        <w:tc>
          <w:tcPr>
            <w:tcW w:w="197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GB 16410—2007</w:t>
            </w:r>
          </w:p>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GB 16410—2020</w:t>
            </w:r>
          </w:p>
        </w:tc>
        <w:tc>
          <w:tcPr>
            <w:tcW w:w="196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GB 16410—2007</w:t>
            </w:r>
          </w:p>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GB 16410—2020</w:t>
            </w:r>
          </w:p>
        </w:tc>
      </w:tr>
      <w:tr>
        <w:tblPrEx>
          <w:shd w:val="clear" w:color="auto" w:fill="FFFFFF"/>
          <w:tblCellMar>
            <w:top w:w="0" w:type="dxa"/>
            <w:left w:w="0" w:type="dxa"/>
            <w:bottom w:w="0" w:type="dxa"/>
            <w:right w:w="0" w:type="dxa"/>
          </w:tblCellMar>
        </w:tblPrEx>
        <w:trPr>
          <w:jc w:val="center"/>
        </w:trPr>
        <w:tc>
          <w:tcPr>
            <w:tcW w:w="81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6</w:t>
            </w:r>
          </w:p>
        </w:tc>
        <w:tc>
          <w:tcPr>
            <w:tcW w:w="3123"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color w:val="333333"/>
                <w:sz w:val="21"/>
              </w:rPr>
            </w:pPr>
            <w:r>
              <w:rPr>
                <w:rFonts w:hint="eastAsia" w:asciiTheme="minorEastAsia" w:hAnsiTheme="minorEastAsia" w:eastAsiaTheme="minorEastAsia" w:cstheme="minorEastAsia"/>
                <w:color w:val="333333"/>
                <w:sz w:val="21"/>
              </w:rPr>
              <w:t>燃烧噪声</w:t>
            </w:r>
          </w:p>
        </w:tc>
        <w:tc>
          <w:tcPr>
            <w:tcW w:w="197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GB 16410—2007</w:t>
            </w:r>
          </w:p>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GB 16410—2020</w:t>
            </w:r>
          </w:p>
        </w:tc>
        <w:tc>
          <w:tcPr>
            <w:tcW w:w="196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GB 16410—2007</w:t>
            </w:r>
          </w:p>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GB 16410—2020</w:t>
            </w:r>
          </w:p>
        </w:tc>
      </w:tr>
      <w:tr>
        <w:tblPrEx>
          <w:shd w:val="clear" w:color="auto" w:fill="FFFFFF"/>
          <w:tblCellMar>
            <w:top w:w="0" w:type="dxa"/>
            <w:left w:w="0" w:type="dxa"/>
            <w:bottom w:w="0" w:type="dxa"/>
            <w:right w:w="0" w:type="dxa"/>
          </w:tblCellMar>
        </w:tblPrEx>
        <w:trPr>
          <w:jc w:val="center"/>
        </w:trPr>
        <w:tc>
          <w:tcPr>
            <w:tcW w:w="81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7</w:t>
            </w:r>
          </w:p>
        </w:tc>
        <w:tc>
          <w:tcPr>
            <w:tcW w:w="3123"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color w:val="333333"/>
                <w:sz w:val="21"/>
              </w:rPr>
            </w:pPr>
            <w:r>
              <w:rPr>
                <w:rFonts w:hint="eastAsia" w:asciiTheme="minorEastAsia" w:hAnsiTheme="minorEastAsia" w:eastAsiaTheme="minorEastAsia" w:cstheme="minorEastAsia"/>
                <w:color w:val="333333"/>
                <w:sz w:val="21"/>
              </w:rPr>
              <w:t>熄火噪声</w:t>
            </w:r>
          </w:p>
        </w:tc>
        <w:tc>
          <w:tcPr>
            <w:tcW w:w="197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GB 16410—2007</w:t>
            </w:r>
          </w:p>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GB 16410—2020</w:t>
            </w:r>
          </w:p>
        </w:tc>
        <w:tc>
          <w:tcPr>
            <w:tcW w:w="196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GB 16410—2007</w:t>
            </w:r>
          </w:p>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GB 16410—2020</w:t>
            </w:r>
          </w:p>
        </w:tc>
      </w:tr>
      <w:tr>
        <w:tblPrEx>
          <w:shd w:val="clear" w:color="auto" w:fill="FFFFFF"/>
          <w:tblCellMar>
            <w:top w:w="0" w:type="dxa"/>
            <w:left w:w="0" w:type="dxa"/>
            <w:bottom w:w="0" w:type="dxa"/>
            <w:right w:w="0" w:type="dxa"/>
          </w:tblCellMar>
        </w:tblPrEx>
        <w:trPr>
          <w:jc w:val="center"/>
        </w:trPr>
        <w:tc>
          <w:tcPr>
            <w:tcW w:w="81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8</w:t>
            </w:r>
          </w:p>
        </w:tc>
        <w:tc>
          <w:tcPr>
            <w:tcW w:w="3123"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干烟气中CO浓度（室内型）</w:t>
            </w:r>
          </w:p>
        </w:tc>
        <w:tc>
          <w:tcPr>
            <w:tcW w:w="197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GB 16410—2007</w:t>
            </w:r>
          </w:p>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GB 16410—2020</w:t>
            </w:r>
          </w:p>
        </w:tc>
        <w:tc>
          <w:tcPr>
            <w:tcW w:w="196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GB 16410—2007</w:t>
            </w:r>
          </w:p>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GB 16410—2020</w:t>
            </w:r>
          </w:p>
        </w:tc>
      </w:tr>
      <w:tr>
        <w:tblPrEx>
          <w:shd w:val="clear" w:color="auto" w:fill="FFFFFF"/>
          <w:tblCellMar>
            <w:top w:w="0" w:type="dxa"/>
            <w:left w:w="0" w:type="dxa"/>
            <w:bottom w:w="0" w:type="dxa"/>
            <w:right w:w="0" w:type="dxa"/>
          </w:tblCellMar>
        </w:tblPrEx>
        <w:trPr>
          <w:jc w:val="center"/>
        </w:trPr>
        <w:tc>
          <w:tcPr>
            <w:tcW w:w="81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9</w:t>
            </w:r>
          </w:p>
        </w:tc>
        <w:tc>
          <w:tcPr>
            <w:tcW w:w="3123"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温升（操作时手必需接触的部位）</w:t>
            </w:r>
          </w:p>
        </w:tc>
        <w:tc>
          <w:tcPr>
            <w:tcW w:w="197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GB 16410—2007</w:t>
            </w:r>
          </w:p>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GB 16410—2020</w:t>
            </w:r>
          </w:p>
        </w:tc>
        <w:tc>
          <w:tcPr>
            <w:tcW w:w="196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GB 16410—2007</w:t>
            </w:r>
          </w:p>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GB 16410—2020</w:t>
            </w:r>
          </w:p>
        </w:tc>
      </w:tr>
      <w:tr>
        <w:tblPrEx>
          <w:shd w:val="clear" w:color="auto" w:fill="FFFFFF"/>
          <w:tblCellMar>
            <w:top w:w="0" w:type="dxa"/>
            <w:left w:w="0" w:type="dxa"/>
            <w:bottom w:w="0" w:type="dxa"/>
            <w:right w:w="0" w:type="dxa"/>
          </w:tblCellMar>
        </w:tblPrEx>
        <w:trPr>
          <w:jc w:val="center"/>
        </w:trPr>
        <w:tc>
          <w:tcPr>
            <w:tcW w:w="81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10</w:t>
            </w:r>
          </w:p>
        </w:tc>
        <w:tc>
          <w:tcPr>
            <w:tcW w:w="3123"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耐热冲击</w:t>
            </w:r>
          </w:p>
        </w:tc>
        <w:tc>
          <w:tcPr>
            <w:tcW w:w="197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GB 16410—2007</w:t>
            </w:r>
          </w:p>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GB 16410—2020</w:t>
            </w:r>
          </w:p>
        </w:tc>
        <w:tc>
          <w:tcPr>
            <w:tcW w:w="196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GB 16410—2007</w:t>
            </w:r>
          </w:p>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GB 16410—2020</w:t>
            </w:r>
          </w:p>
        </w:tc>
      </w:tr>
      <w:tr>
        <w:tblPrEx>
          <w:shd w:val="clear" w:color="auto" w:fill="FFFFFF"/>
          <w:tblCellMar>
            <w:top w:w="0" w:type="dxa"/>
            <w:left w:w="0" w:type="dxa"/>
            <w:bottom w:w="0" w:type="dxa"/>
            <w:right w:w="0" w:type="dxa"/>
          </w:tblCellMar>
        </w:tblPrEx>
        <w:trPr>
          <w:jc w:val="center"/>
        </w:trPr>
        <w:tc>
          <w:tcPr>
            <w:tcW w:w="81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11</w:t>
            </w:r>
          </w:p>
        </w:tc>
        <w:tc>
          <w:tcPr>
            <w:tcW w:w="3123"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耐重力冲击</w:t>
            </w:r>
          </w:p>
        </w:tc>
        <w:tc>
          <w:tcPr>
            <w:tcW w:w="197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GB 16410—2007</w:t>
            </w:r>
          </w:p>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GB 16410—2020</w:t>
            </w:r>
          </w:p>
        </w:tc>
        <w:tc>
          <w:tcPr>
            <w:tcW w:w="196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GB 16410—2007</w:t>
            </w:r>
          </w:p>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GB 16410—2020</w:t>
            </w:r>
          </w:p>
        </w:tc>
      </w:tr>
      <w:tr>
        <w:tblPrEx>
          <w:shd w:val="clear" w:color="auto" w:fill="FFFFFF"/>
          <w:tblCellMar>
            <w:top w:w="0" w:type="dxa"/>
            <w:left w:w="0" w:type="dxa"/>
            <w:bottom w:w="0" w:type="dxa"/>
            <w:right w:w="0" w:type="dxa"/>
          </w:tblCellMar>
        </w:tblPrEx>
        <w:trPr>
          <w:jc w:val="center"/>
        </w:trPr>
        <w:tc>
          <w:tcPr>
            <w:tcW w:w="81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12</w:t>
            </w:r>
          </w:p>
        </w:tc>
        <w:tc>
          <w:tcPr>
            <w:tcW w:w="3123"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熄火保护装置—闭阀时间</w:t>
            </w:r>
          </w:p>
        </w:tc>
        <w:tc>
          <w:tcPr>
            <w:tcW w:w="197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GB 16410—2007</w:t>
            </w:r>
          </w:p>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GB 16410—2020</w:t>
            </w:r>
          </w:p>
        </w:tc>
        <w:tc>
          <w:tcPr>
            <w:tcW w:w="196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GB 16410—2007</w:t>
            </w:r>
          </w:p>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GB 16410—2020</w:t>
            </w:r>
          </w:p>
        </w:tc>
      </w:tr>
      <w:tr>
        <w:tblPrEx>
          <w:shd w:val="clear" w:color="auto" w:fill="FFFFFF"/>
          <w:tblCellMar>
            <w:top w:w="0" w:type="dxa"/>
            <w:left w:w="0" w:type="dxa"/>
            <w:bottom w:w="0" w:type="dxa"/>
            <w:right w:w="0" w:type="dxa"/>
          </w:tblCellMar>
        </w:tblPrEx>
        <w:trPr>
          <w:jc w:val="center"/>
        </w:trPr>
        <w:tc>
          <w:tcPr>
            <w:tcW w:w="81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sz w:val="21"/>
              </w:rPr>
              <w:t>13</w:t>
            </w:r>
          </w:p>
        </w:tc>
        <w:tc>
          <w:tcPr>
            <w:tcW w:w="3123"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热效率</w:t>
            </w:r>
          </w:p>
        </w:tc>
        <w:tc>
          <w:tcPr>
            <w:tcW w:w="197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GB 30720—2014</w:t>
            </w:r>
          </w:p>
        </w:tc>
        <w:tc>
          <w:tcPr>
            <w:tcW w:w="196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GB 30720—2014</w:t>
            </w:r>
          </w:p>
        </w:tc>
      </w:tr>
      <w:tr>
        <w:tblPrEx>
          <w:shd w:val="clear" w:color="auto" w:fill="FFFFFF"/>
          <w:tblCellMar>
            <w:top w:w="0" w:type="dxa"/>
            <w:left w:w="0" w:type="dxa"/>
            <w:bottom w:w="0" w:type="dxa"/>
            <w:right w:w="0" w:type="dxa"/>
          </w:tblCellMar>
        </w:tblPrEx>
        <w:trPr>
          <w:jc w:val="center"/>
        </w:trPr>
        <w:tc>
          <w:tcPr>
            <w:tcW w:w="81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sz w:val="21"/>
              </w:rPr>
              <w:t>14</w:t>
            </w:r>
          </w:p>
        </w:tc>
        <w:tc>
          <w:tcPr>
            <w:tcW w:w="3123"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结构的一般要求（燃气导管、燃烧器的熄火保护装置）</w:t>
            </w:r>
          </w:p>
        </w:tc>
        <w:tc>
          <w:tcPr>
            <w:tcW w:w="197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GB 16410—2007</w:t>
            </w:r>
          </w:p>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GB 16410—2020</w:t>
            </w:r>
          </w:p>
        </w:tc>
        <w:tc>
          <w:tcPr>
            <w:tcW w:w="196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GB 16410—2007</w:t>
            </w:r>
          </w:p>
          <w:p>
            <w:pPr>
              <w:pStyle w:val="8"/>
              <w:widowControl/>
              <w:wordWrap w:val="0"/>
              <w:spacing w:beforeAutospacing="0" w:afterAutospacing="0" w:line="26" w:lineRule="atLeast"/>
              <w:jc w:val="center"/>
              <w:textAlignment w:val="baseline"/>
              <w:rPr>
                <w:rFonts w:asciiTheme="minorEastAsia" w:hAnsiTheme="minorEastAsia" w:eastAsiaTheme="minorEastAsia" w:cstheme="minorEastAsia"/>
                <w:sz w:val="21"/>
              </w:rPr>
            </w:pPr>
            <w:r>
              <w:rPr>
                <w:rFonts w:hint="eastAsia" w:asciiTheme="minorEastAsia" w:hAnsiTheme="minorEastAsia" w:eastAsiaTheme="minorEastAsia" w:cstheme="minorEastAsia"/>
                <w:color w:val="333333"/>
                <w:sz w:val="21"/>
              </w:rPr>
              <w:t>GB 16410—2020</w:t>
            </w:r>
          </w:p>
        </w:tc>
      </w:tr>
    </w:tbl>
    <w:p>
      <w:pPr>
        <w:pStyle w:val="8"/>
        <w:widowControl/>
        <w:shd w:val="clear" w:color="auto" w:fill="FFFFFF"/>
        <w:spacing w:beforeAutospacing="0" w:afterAutospacing="0" w:line="360" w:lineRule="auto"/>
        <w:jc w:val="both"/>
        <w:textAlignment w:val="baseline"/>
        <w:rPr>
          <w:rFonts w:ascii="宋体" w:hAnsi="宋体" w:cs="宋体"/>
          <w:color w:val="333333"/>
          <w:sz w:val="21"/>
        </w:rPr>
      </w:pPr>
      <w:r>
        <w:rPr>
          <w:rFonts w:hint="eastAsia" w:ascii="宋体" w:hAnsi="宋体" w:cs="宋体"/>
          <w:color w:val="333333"/>
          <w:szCs w:val="24"/>
          <w:shd w:val="clear" w:color="auto" w:fill="FFFFFF"/>
        </w:rPr>
        <w:t>　　</w:t>
      </w:r>
      <w:r>
        <w:rPr>
          <w:rFonts w:hint="eastAsia" w:ascii="宋体" w:hAnsi="宋体" w:cs="宋体"/>
          <w:color w:val="333333"/>
          <w:sz w:val="21"/>
          <w:shd w:val="clear" w:color="auto" w:fill="FFFFFF"/>
        </w:rPr>
        <w:t>注1：凡是注日期的文件，其随后所有的修改单（不包括勘误的内容）或修订版不适用于本细则。凡是不注日期的文件，其最新版本适用于本细则。</w:t>
      </w:r>
    </w:p>
    <w:p>
      <w:pPr>
        <w:snapToGrid w:val="0"/>
        <w:spacing w:line="440" w:lineRule="exact"/>
        <w:rPr>
          <w:rFonts w:eastAsia="黑体"/>
          <w:color w:val="000000"/>
        </w:rPr>
      </w:pPr>
      <w:r>
        <w:rPr>
          <w:rFonts w:hint="eastAsia" w:eastAsia="黑体"/>
          <w:color w:val="000000"/>
        </w:rPr>
        <w:t>3.判定规则</w:t>
      </w:r>
    </w:p>
    <w:p>
      <w:pPr>
        <w:pStyle w:val="8"/>
        <w:widowControl/>
        <w:shd w:val="clear" w:color="auto" w:fill="FFFFFF"/>
        <w:spacing w:beforeAutospacing="0" w:afterAutospacing="0" w:line="360" w:lineRule="auto"/>
        <w:jc w:val="both"/>
        <w:textAlignment w:val="baseline"/>
        <w:rPr>
          <w:rFonts w:ascii="宋体" w:hAnsi="宋体" w:cs="宋体"/>
          <w:color w:val="333333"/>
          <w:sz w:val="21"/>
        </w:rPr>
      </w:pPr>
      <w:r>
        <w:rPr>
          <w:rFonts w:hint="eastAsia" w:ascii="宋体" w:hAnsi="宋体" w:cs="宋体"/>
          <w:color w:val="333333"/>
          <w:sz w:val="21"/>
          <w:shd w:val="clear" w:color="auto" w:fill="FFFFFF"/>
        </w:rPr>
        <w:t>3.1依据标准</w:t>
      </w:r>
    </w:p>
    <w:p>
      <w:pPr>
        <w:pStyle w:val="8"/>
        <w:widowControl/>
        <w:shd w:val="clear" w:color="auto" w:fill="FFFFFF"/>
        <w:spacing w:beforeAutospacing="0" w:afterAutospacing="0" w:line="360" w:lineRule="auto"/>
        <w:jc w:val="both"/>
        <w:textAlignment w:val="baseline"/>
        <w:rPr>
          <w:rFonts w:ascii="宋体" w:hAnsi="宋体" w:cs="宋体"/>
          <w:color w:val="333333"/>
          <w:sz w:val="21"/>
        </w:rPr>
      </w:pPr>
      <w:r>
        <w:rPr>
          <w:rFonts w:hint="eastAsia" w:ascii="宋体" w:hAnsi="宋体" w:cs="宋体"/>
          <w:color w:val="333333"/>
          <w:sz w:val="21"/>
          <w:shd w:val="clear" w:color="auto" w:fill="FFFFFF"/>
        </w:rPr>
        <w:t>　　GB 16410</w:t>
      </w:r>
      <w:r>
        <w:rPr>
          <w:rFonts w:hint="eastAsia" w:asciiTheme="minorEastAsia" w:hAnsiTheme="minorEastAsia" w:eastAsiaTheme="minorEastAsia" w:cstheme="minorEastAsia"/>
          <w:color w:val="333333"/>
          <w:sz w:val="21"/>
        </w:rPr>
        <w:t>—</w:t>
      </w:r>
      <w:r>
        <w:rPr>
          <w:rFonts w:hint="eastAsia" w:ascii="宋体" w:hAnsi="宋体" w:cs="宋体"/>
          <w:color w:val="333333"/>
          <w:sz w:val="21"/>
          <w:shd w:val="clear" w:color="auto" w:fill="FFFFFF"/>
        </w:rPr>
        <w:t>2007家用燃气灶具</w:t>
      </w:r>
    </w:p>
    <w:p>
      <w:pPr>
        <w:pStyle w:val="8"/>
        <w:widowControl/>
        <w:shd w:val="clear" w:color="auto" w:fill="FFFFFF"/>
        <w:spacing w:beforeAutospacing="0" w:afterAutospacing="0" w:line="360" w:lineRule="auto"/>
        <w:jc w:val="both"/>
        <w:textAlignment w:val="baseline"/>
        <w:rPr>
          <w:rFonts w:ascii="宋体" w:hAnsi="宋体" w:cs="宋体"/>
          <w:color w:val="333333"/>
          <w:sz w:val="21"/>
        </w:rPr>
      </w:pPr>
      <w:r>
        <w:rPr>
          <w:rFonts w:hint="eastAsia" w:ascii="宋体" w:hAnsi="宋体" w:cs="宋体"/>
          <w:color w:val="333333"/>
          <w:sz w:val="21"/>
          <w:shd w:val="clear" w:color="auto" w:fill="FFFFFF"/>
        </w:rPr>
        <w:t>　　GB 16410</w:t>
      </w:r>
      <w:r>
        <w:rPr>
          <w:rFonts w:hint="eastAsia" w:asciiTheme="minorEastAsia" w:hAnsiTheme="minorEastAsia" w:eastAsiaTheme="minorEastAsia" w:cstheme="minorEastAsia"/>
          <w:color w:val="333333"/>
          <w:sz w:val="21"/>
        </w:rPr>
        <w:t>—</w:t>
      </w:r>
      <w:r>
        <w:rPr>
          <w:rFonts w:hint="eastAsia" w:ascii="宋体" w:hAnsi="宋体" w:cs="宋体"/>
          <w:color w:val="333333"/>
          <w:sz w:val="21"/>
          <w:shd w:val="clear" w:color="auto" w:fill="FFFFFF"/>
        </w:rPr>
        <w:t>2020家用燃气灶具</w:t>
      </w:r>
    </w:p>
    <w:p>
      <w:pPr>
        <w:pStyle w:val="8"/>
        <w:widowControl/>
        <w:shd w:val="clear" w:color="auto" w:fill="FFFFFF"/>
        <w:spacing w:beforeAutospacing="0" w:afterAutospacing="0" w:line="360" w:lineRule="auto"/>
        <w:jc w:val="both"/>
        <w:textAlignment w:val="baseline"/>
        <w:rPr>
          <w:rFonts w:ascii="宋体" w:hAnsi="宋体" w:cs="宋体"/>
          <w:color w:val="333333"/>
          <w:sz w:val="21"/>
        </w:rPr>
      </w:pPr>
      <w:r>
        <w:rPr>
          <w:rFonts w:hint="eastAsia" w:ascii="宋体" w:hAnsi="宋体" w:cs="宋体"/>
          <w:color w:val="333333"/>
          <w:sz w:val="21"/>
          <w:shd w:val="clear" w:color="auto" w:fill="FFFFFF"/>
        </w:rPr>
        <w:t>　　GB 30720</w:t>
      </w:r>
      <w:r>
        <w:rPr>
          <w:rFonts w:hint="eastAsia" w:asciiTheme="minorEastAsia" w:hAnsiTheme="minorEastAsia" w:eastAsiaTheme="minorEastAsia" w:cstheme="minorEastAsia"/>
          <w:color w:val="333333"/>
          <w:sz w:val="21"/>
        </w:rPr>
        <w:t>—</w:t>
      </w:r>
      <w:r>
        <w:rPr>
          <w:rFonts w:hint="eastAsia" w:ascii="宋体" w:hAnsi="宋体" w:cs="宋体"/>
          <w:color w:val="333333"/>
          <w:sz w:val="21"/>
          <w:shd w:val="clear" w:color="auto" w:fill="FFFFFF"/>
        </w:rPr>
        <w:t>2014家用燃气灶具能效限定值及能效等级</w:t>
      </w:r>
    </w:p>
    <w:p>
      <w:pPr>
        <w:pStyle w:val="8"/>
        <w:widowControl/>
        <w:shd w:val="clear" w:color="auto" w:fill="FFFFFF"/>
        <w:spacing w:beforeAutospacing="0" w:afterAutospacing="0" w:line="360" w:lineRule="auto"/>
        <w:jc w:val="both"/>
        <w:textAlignment w:val="baseline"/>
        <w:rPr>
          <w:rFonts w:ascii="宋体" w:hAnsi="宋体" w:cs="宋体"/>
          <w:color w:val="333333"/>
          <w:sz w:val="21"/>
        </w:rPr>
      </w:pPr>
      <w:r>
        <w:rPr>
          <w:rFonts w:hint="eastAsia" w:ascii="宋体" w:hAnsi="宋体" w:cs="宋体"/>
          <w:color w:val="333333"/>
          <w:sz w:val="21"/>
          <w:shd w:val="clear" w:color="auto" w:fill="FFFFFF"/>
        </w:rPr>
        <w:t>　　现行有效的企业标准、团体标准、地方标准及产品明示质量要求</w:t>
      </w:r>
    </w:p>
    <w:p>
      <w:pPr>
        <w:pStyle w:val="8"/>
        <w:widowControl/>
        <w:shd w:val="clear" w:color="auto" w:fill="FFFFFF"/>
        <w:spacing w:beforeAutospacing="0" w:afterAutospacing="0" w:line="360" w:lineRule="auto"/>
        <w:jc w:val="both"/>
        <w:textAlignment w:val="baseline"/>
        <w:rPr>
          <w:rFonts w:ascii="宋体" w:hAnsi="宋体" w:cs="宋体"/>
          <w:color w:val="333333"/>
          <w:sz w:val="21"/>
        </w:rPr>
      </w:pPr>
      <w:r>
        <w:rPr>
          <w:rFonts w:hint="eastAsia" w:ascii="宋体" w:hAnsi="宋体" w:cs="宋体"/>
          <w:color w:val="333333"/>
          <w:sz w:val="21"/>
          <w:shd w:val="clear" w:color="auto" w:fill="FFFFFF"/>
        </w:rPr>
        <w:t>3.2判定原则</w:t>
      </w:r>
    </w:p>
    <w:p>
      <w:pPr>
        <w:snapToGrid w:val="0"/>
        <w:spacing w:line="440" w:lineRule="exact"/>
        <w:ind w:firstLine="420" w:firstLineChars="200"/>
      </w:pPr>
      <w:r>
        <w:t>经检验，检验项目全部合格，判定为被抽查产品</w:t>
      </w:r>
      <w:r>
        <w:rPr>
          <w:rFonts w:hint="eastAsia"/>
        </w:rPr>
        <w:t>所检项目未发现不</w:t>
      </w:r>
      <w:r>
        <w:t>合格；检验项目中任一项或一项以上不合格，判定为被抽查产品不合格。</w:t>
      </w:r>
    </w:p>
    <w:p>
      <w:pPr>
        <w:snapToGrid w:val="0"/>
        <w:spacing w:line="440" w:lineRule="exact"/>
        <w:ind w:firstLine="417" w:firstLineChars="199"/>
      </w:pPr>
      <w:r>
        <w:t>若被检产品明示的质量要求高于本细则中检验项目依据的标准要求时，应按被检产品明示的质量要求判定。</w:t>
      </w:r>
    </w:p>
    <w:p>
      <w:pPr>
        <w:snapToGrid w:val="0"/>
        <w:spacing w:line="440" w:lineRule="exact"/>
        <w:ind w:firstLine="417" w:firstLineChars="199"/>
      </w:pPr>
      <w:r>
        <w:t>若被检产品明示的质量要求低于本细则中检验项目依据的强制性标准要求时，应按照强制性标准要求判定。</w:t>
      </w:r>
    </w:p>
    <w:p>
      <w:pPr>
        <w:snapToGrid w:val="0"/>
        <w:spacing w:line="440" w:lineRule="exact"/>
        <w:ind w:firstLine="417" w:firstLineChars="199"/>
      </w:pPr>
      <w:r>
        <w:t>若被检产品明示的质量要求低于或包含本细则中检验项目依据的推荐性标准要求时，应以被检产品明示的质量要求判定。</w:t>
      </w:r>
    </w:p>
    <w:p>
      <w:pPr>
        <w:snapToGrid w:val="0"/>
        <w:spacing w:line="440" w:lineRule="exact"/>
        <w:ind w:firstLine="417" w:firstLineChars="199"/>
      </w:pPr>
      <w:r>
        <w:t>若被检产品明示的质量要求缺少本细则中检验项目依据的强制性标准要求时，应按照强制性标准要求判定。</w:t>
      </w:r>
    </w:p>
    <w:p>
      <w:pPr>
        <w:snapToGrid w:val="0"/>
        <w:spacing w:line="440" w:lineRule="exact"/>
        <w:ind w:firstLine="417" w:firstLineChars="199"/>
        <w:rPr>
          <w:rFonts w:eastAsiaTheme="minorEastAsia"/>
          <w:color w:val="000000"/>
        </w:rPr>
      </w:pPr>
      <w:r>
        <w:t>若被检产品明示的质量要求缺少本细则中检验项目依据的推荐性标准要求时，该项目不参与判定。</w:t>
      </w:r>
    </w:p>
    <w:sectPr>
      <w:footerReference r:id="rId3" w:type="default"/>
      <w:pgSz w:w="11906" w:h="16838"/>
      <w:pgMar w:top="1440" w:right="1800" w:bottom="1440" w:left="1800" w:header="851" w:footer="992" w:gutter="0"/>
      <w:pgNumType w:start="1" w:chapStyle="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80939131"/>
    </w:sdtPr>
    <w:sdtContent>
      <w:sdt>
        <w:sdtPr>
          <w:id w:val="-1669238322"/>
        </w:sdtPr>
        <w:sdtContent>
          <w:p>
            <w:pPr>
              <w:pStyle w:val="4"/>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w:t>
            </w:r>
            <w:r>
              <w:rPr>
                <w:b/>
                <w:bCs/>
                <w:sz w:val="24"/>
                <w:szCs w:val="24"/>
              </w:rPr>
              <w:fldChar w:fldCharType="end"/>
            </w:r>
          </w:p>
        </w:sdtContent>
      </w:sdt>
    </w:sdtContent>
  </w:sdt>
  <w:p>
    <w:pPr>
      <w:pStyle w:val="4"/>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kYzkwM2Q4M2Y1MzJmYWRhNzNiOWY2NzdmOTdmN2IifQ=="/>
  </w:docVars>
  <w:rsids>
    <w:rsidRoot w:val="002D5537"/>
    <w:rsid w:val="00074060"/>
    <w:rsid w:val="00083683"/>
    <w:rsid w:val="000C0F52"/>
    <w:rsid w:val="000E3AC5"/>
    <w:rsid w:val="00106A78"/>
    <w:rsid w:val="0013196C"/>
    <w:rsid w:val="00187A2A"/>
    <w:rsid w:val="001A5500"/>
    <w:rsid w:val="001D3275"/>
    <w:rsid w:val="001E426F"/>
    <w:rsid w:val="002070F6"/>
    <w:rsid w:val="0022431D"/>
    <w:rsid w:val="002543BE"/>
    <w:rsid w:val="00297713"/>
    <w:rsid w:val="002D1038"/>
    <w:rsid w:val="002D5537"/>
    <w:rsid w:val="00304526"/>
    <w:rsid w:val="00344C0F"/>
    <w:rsid w:val="003627D8"/>
    <w:rsid w:val="0037265E"/>
    <w:rsid w:val="00377116"/>
    <w:rsid w:val="0040319E"/>
    <w:rsid w:val="00407A94"/>
    <w:rsid w:val="00407BCB"/>
    <w:rsid w:val="00410E59"/>
    <w:rsid w:val="004121A5"/>
    <w:rsid w:val="00435E5E"/>
    <w:rsid w:val="00450ACA"/>
    <w:rsid w:val="00487E12"/>
    <w:rsid w:val="00523488"/>
    <w:rsid w:val="00570741"/>
    <w:rsid w:val="005C4D73"/>
    <w:rsid w:val="005C51B5"/>
    <w:rsid w:val="00625345"/>
    <w:rsid w:val="006567CC"/>
    <w:rsid w:val="00666768"/>
    <w:rsid w:val="006C6C5D"/>
    <w:rsid w:val="006D4F33"/>
    <w:rsid w:val="006D503F"/>
    <w:rsid w:val="006E3EF7"/>
    <w:rsid w:val="006F1678"/>
    <w:rsid w:val="007321E0"/>
    <w:rsid w:val="00761D48"/>
    <w:rsid w:val="0076648B"/>
    <w:rsid w:val="00771EA3"/>
    <w:rsid w:val="0079657C"/>
    <w:rsid w:val="007A422F"/>
    <w:rsid w:val="007A7730"/>
    <w:rsid w:val="007D0D1A"/>
    <w:rsid w:val="007D1423"/>
    <w:rsid w:val="00850E33"/>
    <w:rsid w:val="00866734"/>
    <w:rsid w:val="00867B98"/>
    <w:rsid w:val="0087423F"/>
    <w:rsid w:val="008819D9"/>
    <w:rsid w:val="00893B6D"/>
    <w:rsid w:val="008B3416"/>
    <w:rsid w:val="008C6942"/>
    <w:rsid w:val="008D45B0"/>
    <w:rsid w:val="008D67AF"/>
    <w:rsid w:val="008E0049"/>
    <w:rsid w:val="008F79EF"/>
    <w:rsid w:val="00907218"/>
    <w:rsid w:val="00914493"/>
    <w:rsid w:val="0093756B"/>
    <w:rsid w:val="00944521"/>
    <w:rsid w:val="009A09C0"/>
    <w:rsid w:val="009D1DF0"/>
    <w:rsid w:val="009E2029"/>
    <w:rsid w:val="009F5654"/>
    <w:rsid w:val="00A03D3C"/>
    <w:rsid w:val="00A112DA"/>
    <w:rsid w:val="00A12364"/>
    <w:rsid w:val="00A21F79"/>
    <w:rsid w:val="00A40375"/>
    <w:rsid w:val="00A44824"/>
    <w:rsid w:val="00A51675"/>
    <w:rsid w:val="00A637BF"/>
    <w:rsid w:val="00A63859"/>
    <w:rsid w:val="00A676A7"/>
    <w:rsid w:val="00A80A51"/>
    <w:rsid w:val="00AA7C45"/>
    <w:rsid w:val="00AD0057"/>
    <w:rsid w:val="00AD043A"/>
    <w:rsid w:val="00AD4F08"/>
    <w:rsid w:val="00AD751A"/>
    <w:rsid w:val="00AF0B32"/>
    <w:rsid w:val="00B327E7"/>
    <w:rsid w:val="00B41361"/>
    <w:rsid w:val="00B54A16"/>
    <w:rsid w:val="00BA5804"/>
    <w:rsid w:val="00BD3296"/>
    <w:rsid w:val="00BE65BF"/>
    <w:rsid w:val="00C05484"/>
    <w:rsid w:val="00C17E61"/>
    <w:rsid w:val="00C30BE0"/>
    <w:rsid w:val="00C47398"/>
    <w:rsid w:val="00CB5F0D"/>
    <w:rsid w:val="00CC5E8E"/>
    <w:rsid w:val="00CE2712"/>
    <w:rsid w:val="00CF71FD"/>
    <w:rsid w:val="00D26CDC"/>
    <w:rsid w:val="00D556DA"/>
    <w:rsid w:val="00D7281B"/>
    <w:rsid w:val="00D74492"/>
    <w:rsid w:val="00DD306C"/>
    <w:rsid w:val="00DE3A9B"/>
    <w:rsid w:val="00E20674"/>
    <w:rsid w:val="00E77B79"/>
    <w:rsid w:val="00EC7C64"/>
    <w:rsid w:val="00ED69EB"/>
    <w:rsid w:val="00ED7A3F"/>
    <w:rsid w:val="00EE2703"/>
    <w:rsid w:val="00F03AD6"/>
    <w:rsid w:val="00F04BB2"/>
    <w:rsid w:val="00F43631"/>
    <w:rsid w:val="00F55EC2"/>
    <w:rsid w:val="00F6519E"/>
    <w:rsid w:val="00FC5641"/>
    <w:rsid w:val="00FC6303"/>
    <w:rsid w:val="00FE3A7A"/>
    <w:rsid w:val="037B7174"/>
    <w:rsid w:val="03884442"/>
    <w:rsid w:val="045A7D1D"/>
    <w:rsid w:val="046A1147"/>
    <w:rsid w:val="06F36114"/>
    <w:rsid w:val="08B65969"/>
    <w:rsid w:val="0B8D75A8"/>
    <w:rsid w:val="0C9B541C"/>
    <w:rsid w:val="1240071A"/>
    <w:rsid w:val="12AC7899"/>
    <w:rsid w:val="13532EBE"/>
    <w:rsid w:val="13880D37"/>
    <w:rsid w:val="14C10CCA"/>
    <w:rsid w:val="15C226B2"/>
    <w:rsid w:val="176A58C3"/>
    <w:rsid w:val="19DE5B77"/>
    <w:rsid w:val="1AD432D4"/>
    <w:rsid w:val="1AE90081"/>
    <w:rsid w:val="1B943A6F"/>
    <w:rsid w:val="1BB940CB"/>
    <w:rsid w:val="1CBD1070"/>
    <w:rsid w:val="23130993"/>
    <w:rsid w:val="23A6542D"/>
    <w:rsid w:val="23BA709A"/>
    <w:rsid w:val="25E37271"/>
    <w:rsid w:val="297D73F6"/>
    <w:rsid w:val="2A7F1CB5"/>
    <w:rsid w:val="32EA6935"/>
    <w:rsid w:val="381634CC"/>
    <w:rsid w:val="38CA39DC"/>
    <w:rsid w:val="3A5E54F5"/>
    <w:rsid w:val="3AC9790B"/>
    <w:rsid w:val="3B441FE5"/>
    <w:rsid w:val="3E0A5B61"/>
    <w:rsid w:val="3EE87173"/>
    <w:rsid w:val="4202591C"/>
    <w:rsid w:val="425538E8"/>
    <w:rsid w:val="439A0A6C"/>
    <w:rsid w:val="43CA2AF9"/>
    <w:rsid w:val="45D12E02"/>
    <w:rsid w:val="49E80310"/>
    <w:rsid w:val="4AE82010"/>
    <w:rsid w:val="4DAC52E2"/>
    <w:rsid w:val="4E970828"/>
    <w:rsid w:val="4ED800AF"/>
    <w:rsid w:val="54643A63"/>
    <w:rsid w:val="553D4576"/>
    <w:rsid w:val="56EE6B10"/>
    <w:rsid w:val="58C42820"/>
    <w:rsid w:val="5AB90069"/>
    <w:rsid w:val="5DD811FA"/>
    <w:rsid w:val="5EDD6990"/>
    <w:rsid w:val="61913EA8"/>
    <w:rsid w:val="63463738"/>
    <w:rsid w:val="63E4669C"/>
    <w:rsid w:val="677D49FB"/>
    <w:rsid w:val="73B21266"/>
    <w:rsid w:val="74186CBB"/>
    <w:rsid w:val="74EC3FEB"/>
    <w:rsid w:val="753269A0"/>
    <w:rsid w:val="75453930"/>
    <w:rsid w:val="7617088A"/>
    <w:rsid w:val="76590756"/>
    <w:rsid w:val="76B30F14"/>
    <w:rsid w:val="76C811B6"/>
    <w:rsid w:val="773E12E5"/>
    <w:rsid w:val="78257F5E"/>
    <w:rsid w:val="79AD5996"/>
    <w:rsid w:val="7B856F8A"/>
    <w:rsid w:val="7F564C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bCs/>
      <w:kern w:val="44"/>
      <w:sz w:val="48"/>
      <w:szCs w:val="48"/>
    </w:rPr>
  </w:style>
  <w:style w:type="character" w:default="1" w:styleId="11">
    <w:name w:val="Default Paragraph Font"/>
    <w:semiHidden/>
    <w:unhideWhenUsed/>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3">
    <w:name w:val="Balloon Text"/>
    <w:basedOn w:val="1"/>
    <w:link w:val="15"/>
    <w:autoRedefine/>
    <w:qFormat/>
    <w:uiPriority w:val="0"/>
    <w:rPr>
      <w:sz w:val="18"/>
      <w:szCs w:val="18"/>
    </w:rPr>
  </w:style>
  <w:style w:type="paragraph" w:styleId="4">
    <w:name w:val="footer"/>
    <w:basedOn w:val="1"/>
    <w:link w:val="14"/>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Subtitle"/>
    <w:basedOn w:val="1"/>
    <w:next w:val="1"/>
    <w:link w:val="13"/>
    <w:autoRedefine/>
    <w:qFormat/>
    <w:uiPriority w:val="0"/>
    <w:pPr>
      <w:spacing w:before="240" w:after="60" w:line="312" w:lineRule="auto"/>
      <w:jc w:val="center"/>
      <w:outlineLvl w:val="1"/>
    </w:pPr>
    <w:rPr>
      <w:rFonts w:ascii="Cambria" w:hAnsi="Cambria"/>
      <w:b/>
      <w:bCs/>
      <w:kern w:val="28"/>
      <w:sz w:val="32"/>
      <w:szCs w:val="32"/>
    </w:rPr>
  </w:style>
  <w:style w:type="paragraph" w:styleId="7">
    <w:name w:val="Body Text Indent 3"/>
    <w:basedOn w:val="1"/>
    <w:autoRedefine/>
    <w:qFormat/>
    <w:uiPriority w:val="0"/>
    <w:pPr>
      <w:snapToGrid w:val="0"/>
      <w:spacing w:line="440" w:lineRule="exact"/>
      <w:ind w:firstLine="420"/>
    </w:pPr>
    <w:rPr>
      <w:rFonts w:ascii="宋体" w:hAnsi="宋体"/>
      <w:szCs w:val="24"/>
    </w:rPr>
  </w:style>
  <w:style w:type="paragraph" w:styleId="8">
    <w:name w:val="Normal (Web)"/>
    <w:basedOn w:val="1"/>
    <w:autoRedefine/>
    <w:qFormat/>
    <w:uiPriority w:val="0"/>
    <w:pPr>
      <w:spacing w:beforeAutospacing="1" w:afterAutospacing="1"/>
      <w:jc w:val="left"/>
    </w:pPr>
    <w:rPr>
      <w:kern w:val="0"/>
      <w:sz w:val="24"/>
    </w:rPr>
  </w:style>
  <w:style w:type="table" w:styleId="10">
    <w:name w:val="Table Grid"/>
    <w:basedOn w:val="9"/>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2">
    <w:name w:val="页眉 Char"/>
    <w:link w:val="5"/>
    <w:qFormat/>
    <w:uiPriority w:val="0"/>
    <w:rPr>
      <w:kern w:val="2"/>
      <w:sz w:val="18"/>
      <w:szCs w:val="18"/>
    </w:rPr>
  </w:style>
  <w:style w:type="character" w:customStyle="1" w:styleId="13">
    <w:name w:val="副标题 Char"/>
    <w:link w:val="6"/>
    <w:qFormat/>
    <w:uiPriority w:val="0"/>
    <w:rPr>
      <w:rFonts w:ascii="Cambria" w:hAnsi="Cambria" w:cs="Times New Roman"/>
      <w:b/>
      <w:bCs/>
      <w:kern w:val="28"/>
      <w:sz w:val="32"/>
      <w:szCs w:val="32"/>
    </w:rPr>
  </w:style>
  <w:style w:type="character" w:customStyle="1" w:styleId="14">
    <w:name w:val="页脚 Char"/>
    <w:link w:val="4"/>
    <w:qFormat/>
    <w:uiPriority w:val="0"/>
    <w:rPr>
      <w:kern w:val="2"/>
      <w:sz w:val="18"/>
      <w:szCs w:val="18"/>
    </w:rPr>
  </w:style>
  <w:style w:type="character" w:customStyle="1" w:styleId="15">
    <w:name w:val="批注框文本 Char"/>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FF5B62-7151-4D5D-995D-6577231AEE26}">
  <ds:schemaRefs/>
</ds:datastoreItem>
</file>

<file path=docProps/app.xml><?xml version="1.0" encoding="utf-8"?>
<Properties xmlns="http://schemas.openxmlformats.org/officeDocument/2006/extended-properties" xmlns:vt="http://schemas.openxmlformats.org/officeDocument/2006/docPropsVTypes">
  <Template>Normal</Template>
  <Company>http://www.windows89.com</Company>
  <Pages>2</Pages>
  <Words>244</Words>
  <Characters>1396</Characters>
  <Lines>11</Lines>
  <Paragraphs>3</Paragraphs>
  <TotalTime>1</TotalTime>
  <ScaleCrop>false</ScaleCrop>
  <LinksUpToDate>false</LinksUpToDate>
  <CharactersWithSpaces>1637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2020-08-04T01:34:00Z</dcterms:created>
  <dc:creator>GQI</dc:creator>
  <cp:lastModifiedBy>李仲唐</cp:lastModifiedBy>
  <cp:lastPrinted>2016-08-19T05:46:00Z</cp:lastPrinted>
  <dcterms:modified xsi:type="dcterms:W3CDTF">2024-05-30T08:26:25Z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77143C2EDE9D465783FC946A554C0A44</vt:lpwstr>
  </property>
</Properties>
</file>