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市政府90号令决定下放市垂直管理部门</w:t>
      </w:r>
    </w:p>
    <w:p>
      <w:pPr>
        <w:snapToGrid w:val="0"/>
        <w:spacing w:line="5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实施的行政审批、备案事项目录</w:t>
      </w:r>
    </w:p>
    <w:bookmarkEnd w:id="0"/>
    <w:p>
      <w:pPr>
        <w:snapToGrid w:val="0"/>
        <w:spacing w:line="58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napToGrid w:val="0"/>
        <w:spacing w:line="58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一、下放的行政许可事项（8项）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644"/>
        <w:gridCol w:w="2851"/>
        <w:gridCol w:w="1125"/>
        <w:gridCol w:w="132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实施主体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序号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项目名称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下放方式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下放后实施主体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市国土房管局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建设项目用地预审报告核发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部分直接下放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区（县级市）土地行政主管部门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除省、市重点工程项目外。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市规划局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建设项目选址意见书核发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部分直接下放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区（县级市）规划行政主管部门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除标志性的国家、省、市重点公共建筑工程、全市范围内的重点市政基础设施建设工程及跨区、县的建设工程外。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建设用地规划许可证核发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部分直接下放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区（县级市）规划行政主管部门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除标志性的国家、省、市重点公共建筑工程、全市范围内的重点市政基础设施建设工程及跨区、县的建设工程外。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建设工程规划许可证核发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部分直接下放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区（县级市）规划行政主管部门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除标志性的国家、省、市重点公共建筑工程、全市范围内的重点市政基础设施建设工程及跨区、县的建设工程外。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建设工程规划验收合格证核发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部分直接下放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区（县级市）规划行政主管部门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除跨区、县的建设工程外。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市工商局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公司（企业法人）注册登记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部分委托下放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区（县级市）工商分局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投资总额在5000万美元以下的鼓励类、允许类外商投资公司（企业法人）注册登记；含“企业名称预先核准（gz3011001）”。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不具备企业法人条件从事经营活动单位的营业登记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直接下放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区（县级市）工商分局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市质监局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食品生产许可证核发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部分直接下放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区（县级市）质量技术监督行政主管部门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除乳制品、肉制品、饮料及速冻食品外；含省下放事项“食品生产许可证核发”。</w:t>
            </w:r>
          </w:p>
        </w:tc>
      </w:tr>
    </w:tbl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二、下放的非行政许可事项（3项）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705"/>
        <w:gridCol w:w="2280"/>
        <w:gridCol w:w="1215"/>
        <w:gridCol w:w="1467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实施主体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序号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项目名称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下放方式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下放后实施主体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市国土房管局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矿泉水注册登记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部分直接下放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区（县级市）土地行政主管部门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除跨区之外；矿泉水注册登记的初审（gz1222003）并入到省级矿泉水注册登记,调整后的事项名称为“矿泉水注册登记”。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土地复垦方案审批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直接下放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区（县级市）土地行政主管部门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市工商局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区（县级市）登记注册企业的股权出质登记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部分直接下放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区（县级市）工商分局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</w:tbl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snapToGrid w:val="0"/>
        <w:rPr>
          <w:rFonts w:hint="eastAsia" w:ascii="仿宋" w:hAnsi="仿宋" w:eastAsia="仿宋" w:cs="黑体"/>
          <w:bCs/>
          <w:sz w:val="32"/>
          <w:szCs w:val="32"/>
        </w:rPr>
      </w:pPr>
    </w:p>
    <w:p>
      <w:pPr>
        <w:snapToGrid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三、下放的备案事项（6项）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837"/>
        <w:gridCol w:w="2384"/>
        <w:gridCol w:w="1174"/>
        <w:gridCol w:w="1751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实施主体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序号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项目名称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下放方式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下放后实施主体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市规划局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勘测成果资料备案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直接下放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区（县级市）规划行政主管部门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市工商局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区（县级市）登记注册企业的公司未涉及登记事项的章程修改备案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部分直接下放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区（县级市）工商行政主管部门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区（县级市）登记注册企业的董事、监事变动的备案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部分直接下放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区（县级市）工商行政主管部门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区（县级市）登记注册企业的清算组成员、清算组负责人名单备案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部分直接下放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区（县级市）工商行政主管部门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拍卖备案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直接下放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区（县级市）工商行政主管部门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市质监局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委托制造计量器具合同备案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直接下放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区（县级市）质量技术监督行政主管部门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TRiNjQwYmZjMDQyZjMyYmI3NzYzN2ZjMzhhOTcifQ=="/>
  </w:docVars>
  <w:rsids>
    <w:rsidRoot w:val="66FF72CF"/>
    <w:rsid w:val="66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2024-06-13T08:42:00Z</dcterms:created>
  <dc:creator>蒲苇如丝</dc:creator>
  <cp:lastModifiedBy>蒲苇如丝</cp:lastModifiedBy>
  <dcterms:modified xsi:type="dcterms:W3CDTF">2024-06-13T08:43:25Z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904D62ECF2ED4B098015CC2F57B877CC_11</vt:lpwstr>
  </property>
</Properties>
</file>