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widowControl/>
        <w:spacing w:line="580" w:lineRule="exact"/>
        <w:jc w:val="left"/>
        <w:outlineLvl w:val="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p>
      <w:pPr>
        <w:pStyle w:val="10"/>
        <w:widowControl/>
        <w:spacing w:line="558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4年广州市电能表产品质量监督抽查结果</w:t>
      </w:r>
    </w:p>
    <w:p>
      <w:pPr>
        <w:pStyle w:val="10"/>
        <w:widowControl/>
        <w:spacing w:line="558" w:lineRule="exact"/>
        <w:jc w:val="center"/>
        <w:outlineLvl w:val="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（本抽样检验结果及有关数据不得用作商业用途）</w:t>
      </w:r>
    </w:p>
    <w:p>
      <w:pPr>
        <w:pStyle w:val="10"/>
        <w:widowControl/>
        <w:spacing w:line="558" w:lineRule="exact"/>
        <w:jc w:val="center"/>
        <w:outlineLvl w:val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ind w:firstLine="640" w:firstLineChars="200"/>
        <w:rPr>
          <w:rFonts w:asci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/>
          <w:color w:val="000000"/>
          <w:kern w:val="0"/>
          <w:szCs w:val="32"/>
        </w:rPr>
        <w:t>202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4年第一季度，广州市市场监督管理局对电能表产品质量进行了监督抽查，共抽查了</w:t>
      </w:r>
      <w:r>
        <w:rPr>
          <w:rFonts w:ascii="仿宋_GB2312" w:hAnsi="仿宋_GB2312" w:cs="仿宋_GB2312"/>
          <w:color w:val="000000"/>
          <w:kern w:val="0"/>
          <w:szCs w:val="32"/>
        </w:rPr>
        <w:t>13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批次样品，经检验，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未发现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产品不符合标准要求。</w:t>
      </w:r>
    </w:p>
    <w:p>
      <w:pPr>
        <w:ind w:firstLine="640" w:firstLineChars="200"/>
        <w:rPr>
          <w:rFonts w:ascii="仿宋_GB2312" w:cs="仿宋_GB2312"/>
          <w:color w:val="000000"/>
          <w:kern w:val="0"/>
          <w:szCs w:val="32"/>
        </w:rPr>
      </w:pPr>
      <w:r>
        <w:rPr>
          <w:rFonts w:hint="eastAsia"/>
          <w:szCs w:val="21"/>
        </w:rPr>
        <w:t>本次抽查依据</w:t>
      </w:r>
      <w:r>
        <w:rPr>
          <w:szCs w:val="21"/>
        </w:rPr>
        <w:t>GB/T 17215.211-2006</w:t>
      </w:r>
      <w:r>
        <w:rPr>
          <w:rFonts w:hint="eastAsia"/>
          <w:szCs w:val="21"/>
        </w:rPr>
        <w:t>《交流电测量设备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通用要求、试验和试验条件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11</w:t>
      </w:r>
      <w:r>
        <w:rPr>
          <w:rFonts w:hint="eastAsia"/>
          <w:szCs w:val="21"/>
        </w:rPr>
        <w:t>部分：测量设备》、</w:t>
      </w:r>
      <w:r>
        <w:rPr>
          <w:szCs w:val="21"/>
        </w:rPr>
        <w:t>GB/T 17215.321-2008</w:t>
      </w:r>
      <w:r>
        <w:rPr>
          <w:rFonts w:hint="eastAsia"/>
          <w:szCs w:val="21"/>
        </w:rPr>
        <w:t>《交流电测量设备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特殊要求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21</w:t>
      </w:r>
      <w:r>
        <w:rPr>
          <w:rFonts w:hint="eastAsia"/>
          <w:szCs w:val="21"/>
        </w:rPr>
        <w:t>部分：静止式有功电能表（</w:t>
      </w:r>
      <w:r>
        <w:rPr>
          <w:szCs w:val="21"/>
        </w:rPr>
        <w:t>1</w:t>
      </w:r>
      <w:r>
        <w:rPr>
          <w:rFonts w:hint="eastAsia"/>
          <w:szCs w:val="21"/>
        </w:rPr>
        <w:t>级和</w:t>
      </w:r>
      <w:r>
        <w:rPr>
          <w:szCs w:val="21"/>
        </w:rPr>
        <w:t>2</w:t>
      </w:r>
      <w:r>
        <w:rPr>
          <w:rFonts w:hint="eastAsia"/>
          <w:szCs w:val="21"/>
        </w:rPr>
        <w:t>级）》、</w:t>
      </w:r>
      <w:r>
        <w:fldChar w:fldCharType="begin"/>
      </w:r>
      <w:r>
        <w:instrText xml:space="preserve"> HYPERLINK "javascript:showDetails('OF281128005609')" \o "查看该标准的详细信息" </w:instrText>
      </w:r>
      <w:r>
        <w:fldChar w:fldCharType="separate"/>
      </w:r>
      <w:r>
        <w:rPr>
          <w:szCs w:val="21"/>
        </w:rPr>
        <w:t>GB/T 17215.211-2021</w:t>
      </w:r>
      <w:r>
        <w:rPr>
          <w:szCs w:val="21"/>
        </w:rPr>
        <w:fldChar w:fldCharType="end"/>
      </w:r>
      <w:r>
        <w:rPr>
          <w:szCs w:val="21"/>
        </w:rPr>
        <w:t xml:space="preserve"> </w:t>
      </w:r>
      <w:r>
        <w:rPr>
          <w:rFonts w:hint="eastAsia"/>
          <w:szCs w:val="21"/>
        </w:rPr>
        <w:t>《电测量设备（交流）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通用要求、试验和试验条件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11</w:t>
      </w:r>
      <w:r>
        <w:rPr>
          <w:rFonts w:hint="eastAsia"/>
          <w:szCs w:val="21"/>
        </w:rPr>
        <w:t>部分：测量设备》、、</w:t>
      </w:r>
      <w:r>
        <w:fldChar w:fldCharType="begin"/>
      </w:r>
      <w:r>
        <w:instrText xml:space="preserve"> HYPERLINK "javascript:showDetails('OF281126005608')" \o "查看该标准的详细信息" </w:instrText>
      </w:r>
      <w:r>
        <w:fldChar w:fldCharType="separate"/>
      </w:r>
      <w:r>
        <w:rPr>
          <w:szCs w:val="21"/>
        </w:rPr>
        <w:t>GB/T17215.321-2021</w:t>
      </w:r>
      <w:r>
        <w:rPr>
          <w:szCs w:val="21"/>
        </w:rPr>
        <w:fldChar w:fldCharType="end"/>
      </w:r>
      <w:r>
        <w:rPr>
          <w:rFonts w:hint="eastAsia"/>
          <w:szCs w:val="21"/>
        </w:rPr>
        <w:t>《电测量设备（交流）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特殊要求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21</w:t>
      </w:r>
      <w:r>
        <w:rPr>
          <w:rFonts w:hint="eastAsia"/>
          <w:szCs w:val="21"/>
        </w:rPr>
        <w:t>部分：静止式有功电能表</w:t>
      </w:r>
      <w:r>
        <w:rPr>
          <w:szCs w:val="21"/>
        </w:rPr>
        <w:t xml:space="preserve"> (A</w:t>
      </w:r>
      <w:r>
        <w:rPr>
          <w:rFonts w:hint="eastAsia"/>
          <w:szCs w:val="21"/>
        </w:rPr>
        <w:t>级、</w:t>
      </w:r>
      <w:r>
        <w:rPr>
          <w:szCs w:val="21"/>
        </w:rPr>
        <w:t>B</w:t>
      </w:r>
      <w:r>
        <w:rPr>
          <w:rFonts w:hint="eastAsia"/>
          <w:szCs w:val="21"/>
        </w:rPr>
        <w:t>级、</w:t>
      </w:r>
      <w:r>
        <w:rPr>
          <w:szCs w:val="21"/>
        </w:rPr>
        <w:t>C</w:t>
      </w:r>
      <w:r>
        <w:rPr>
          <w:rFonts w:hint="eastAsia"/>
          <w:szCs w:val="21"/>
        </w:rPr>
        <w:t>级、</w:t>
      </w:r>
      <w:r>
        <w:rPr>
          <w:szCs w:val="21"/>
        </w:rPr>
        <w:t>D</w:t>
      </w:r>
      <w:r>
        <w:rPr>
          <w:rFonts w:hint="eastAsia"/>
          <w:szCs w:val="21"/>
        </w:rPr>
        <w:t>级和</w:t>
      </w:r>
      <w:r>
        <w:rPr>
          <w:szCs w:val="21"/>
        </w:rPr>
        <w:t>E</w:t>
      </w:r>
      <w:r>
        <w:rPr>
          <w:rFonts w:hint="eastAsia"/>
          <w:szCs w:val="21"/>
        </w:rPr>
        <w:t>级</w:t>
      </w:r>
      <w:r>
        <w:rPr>
          <w:szCs w:val="21"/>
        </w:rPr>
        <w:t>)</w:t>
      </w:r>
      <w:r>
        <w:rPr>
          <w:rFonts w:hint="eastAsia"/>
          <w:szCs w:val="21"/>
        </w:rPr>
        <w:t>》等标准，对耐受长期过电压、交流工频电压试验、功率消耗、初始固有误差的测定试验、仪表常数试验、无负载条件（潜动）试验、起动电流试验、重复性试验、变差要求试验、负载电流升降变差试验、时钟准确度试验、电流和电压电路中谐波</w:t>
      </w:r>
      <w:r>
        <w:rPr>
          <w:szCs w:val="21"/>
        </w:rPr>
        <w:t>——</w:t>
      </w:r>
      <w:r>
        <w:rPr>
          <w:rFonts w:hint="eastAsia"/>
          <w:szCs w:val="21"/>
        </w:rPr>
        <w:t>第</w:t>
      </w:r>
      <w:r>
        <w:rPr>
          <w:szCs w:val="21"/>
        </w:rPr>
        <w:t>5</w:t>
      </w:r>
      <w:r>
        <w:rPr>
          <w:rFonts w:hint="eastAsia"/>
          <w:szCs w:val="21"/>
        </w:rPr>
        <w:t>次谐波试验、电流和电压电路中谐波</w:t>
      </w:r>
      <w:r>
        <w:rPr>
          <w:szCs w:val="21"/>
        </w:rPr>
        <w:t>——</w:t>
      </w:r>
      <w:r>
        <w:rPr>
          <w:rFonts w:hint="eastAsia"/>
          <w:szCs w:val="21"/>
        </w:rPr>
        <w:t>方顶波波形试验、电流和电压电路中谐波</w:t>
      </w:r>
      <w:r>
        <w:rPr>
          <w:szCs w:val="21"/>
        </w:rPr>
        <w:t>——</w:t>
      </w:r>
      <w:r>
        <w:rPr>
          <w:rFonts w:hint="eastAsia"/>
          <w:szCs w:val="21"/>
        </w:rPr>
        <w:t>尖顶波波形试验、电流电路中的奇次谐波</w:t>
      </w:r>
      <w:r>
        <w:rPr>
          <w:szCs w:val="21"/>
        </w:rPr>
        <w:t>——90</w:t>
      </w:r>
      <w:r>
        <w:rPr>
          <w:rFonts w:hint="eastAsia"/>
          <w:szCs w:val="21"/>
        </w:rPr>
        <w:t>度相位</w:t>
      </w:r>
      <w:bookmarkStart w:id="0" w:name="_GoBack"/>
      <w:bookmarkEnd w:id="0"/>
      <w:r>
        <w:rPr>
          <w:rFonts w:hint="eastAsia"/>
          <w:szCs w:val="21"/>
        </w:rPr>
        <w:t>触发波形试验、负载不平衡试验、电压改变试验、一相或两相电压中断试验、频率改变试验、逆相序试验、自热试验、高温试验、低温试验、交变湿热试验等项目进行检验。</w:t>
      </w:r>
    </w:p>
    <w:p>
      <w:pPr>
        <w:widowControl/>
        <w:ind w:firstLine="560" w:firstLineChars="200"/>
        <w:rPr>
          <w:rFonts w:hint="eastAsia" w:ascii="仿宋_GB2312" w:hAnsi="宋体" w:cs="宋体"/>
          <w:kern w:val="0"/>
          <w:sz w:val="28"/>
          <w:szCs w:val="28"/>
        </w:rPr>
      </w:pPr>
    </w:p>
    <w:p>
      <w:pPr>
        <w:widowControl/>
        <w:ind w:firstLine="560" w:firstLineChars="200"/>
        <w:rPr>
          <w:rFonts w:hint="eastAsia" w:ascii="仿宋" w:hAnsi="仿宋" w:eastAsia="仿宋" w:cs="仿宋"/>
          <w:b/>
          <w:bCs/>
          <w:color w:val="000000" w:themeColor="text1"/>
          <w:kern w:val="0"/>
          <w:szCs w:val="32"/>
        </w:rPr>
      </w:pPr>
      <w:r>
        <w:rPr>
          <w:rFonts w:hint="eastAsia" w:ascii="仿宋_GB2312" w:hAnsi="宋体" w:cs="宋体"/>
          <w:kern w:val="0"/>
          <w:sz w:val="28"/>
          <w:szCs w:val="28"/>
        </w:rPr>
        <w:t xml:space="preserve"> </w:t>
      </w: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</w:rPr>
        <w:t>2024年广州市电能表产品质量监督抽查结果</w:t>
      </w:r>
    </w:p>
    <w:p>
      <w:pPr>
        <w:widowControl/>
        <w:jc w:val="left"/>
        <w:rPr>
          <w:rFonts w:ascii="仿宋_GB2312" w:hAnsi="宋体" w:cs="宋体"/>
          <w:kern w:val="0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4601228"/>
    <w:rsid w:val="000B6886"/>
    <w:rsid w:val="000D7DEB"/>
    <w:rsid w:val="00144539"/>
    <w:rsid w:val="0017711D"/>
    <w:rsid w:val="00190240"/>
    <w:rsid w:val="00190BAD"/>
    <w:rsid w:val="001B2233"/>
    <w:rsid w:val="001E2B51"/>
    <w:rsid w:val="00202B42"/>
    <w:rsid w:val="002B61FF"/>
    <w:rsid w:val="00334175"/>
    <w:rsid w:val="003418CF"/>
    <w:rsid w:val="003B5F14"/>
    <w:rsid w:val="003C1AC3"/>
    <w:rsid w:val="003C4F4D"/>
    <w:rsid w:val="003C5BA8"/>
    <w:rsid w:val="00425E72"/>
    <w:rsid w:val="00447B84"/>
    <w:rsid w:val="00454E31"/>
    <w:rsid w:val="00461C03"/>
    <w:rsid w:val="00486363"/>
    <w:rsid w:val="004A7664"/>
    <w:rsid w:val="0052364C"/>
    <w:rsid w:val="005F2584"/>
    <w:rsid w:val="00637FFA"/>
    <w:rsid w:val="00642622"/>
    <w:rsid w:val="0064409E"/>
    <w:rsid w:val="00652C8B"/>
    <w:rsid w:val="00672B24"/>
    <w:rsid w:val="00696ECF"/>
    <w:rsid w:val="006F1A5C"/>
    <w:rsid w:val="00722953"/>
    <w:rsid w:val="00746F1A"/>
    <w:rsid w:val="007D5C71"/>
    <w:rsid w:val="0088079A"/>
    <w:rsid w:val="00893A68"/>
    <w:rsid w:val="00955098"/>
    <w:rsid w:val="00A22EDD"/>
    <w:rsid w:val="00A35FEC"/>
    <w:rsid w:val="00A664F3"/>
    <w:rsid w:val="00B315BE"/>
    <w:rsid w:val="00B36D99"/>
    <w:rsid w:val="00B8171A"/>
    <w:rsid w:val="00BC177E"/>
    <w:rsid w:val="00BD7E37"/>
    <w:rsid w:val="00BE779F"/>
    <w:rsid w:val="00C1321B"/>
    <w:rsid w:val="00C21166"/>
    <w:rsid w:val="00CB3186"/>
    <w:rsid w:val="00D24076"/>
    <w:rsid w:val="00DC4199"/>
    <w:rsid w:val="00DF50FD"/>
    <w:rsid w:val="00E6723C"/>
    <w:rsid w:val="00E75BF1"/>
    <w:rsid w:val="00E81394"/>
    <w:rsid w:val="00E86B65"/>
    <w:rsid w:val="00E95D7E"/>
    <w:rsid w:val="00EA7AA9"/>
    <w:rsid w:val="00EB2709"/>
    <w:rsid w:val="00EB382F"/>
    <w:rsid w:val="00F05027"/>
    <w:rsid w:val="00F758FB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99"/>
    <w:pPr>
      <w:jc w:val="left"/>
    </w:pPr>
  </w:style>
  <w:style w:type="paragraph" w:styleId="3">
    <w:name w:val="Balloon Text"/>
    <w:basedOn w:val="1"/>
    <w:link w:val="18"/>
    <w:uiPriority w:val="99"/>
    <w:rPr>
      <w:sz w:val="18"/>
      <w:szCs w:val="18"/>
    </w:rPr>
  </w:style>
  <w:style w:type="paragraph" w:styleId="4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99"/>
    <w:rPr>
      <w:rFonts w:cs="Times New Roman"/>
      <w:sz w:val="21"/>
      <w:szCs w:val="21"/>
    </w:rPr>
  </w:style>
  <w:style w:type="character" w:customStyle="1" w:styleId="9">
    <w:name w:val="批注文字 Char"/>
    <w:basedOn w:val="7"/>
    <w:link w:val="2"/>
    <w:semiHidden/>
    <w:locked/>
    <w:uiPriority w:val="99"/>
    <w:rPr>
      <w:rFonts w:eastAsia="仿宋_GB2312" w:cs="Times New Roman"/>
      <w:sz w:val="20"/>
      <w:szCs w:val="20"/>
    </w:rPr>
  </w:style>
  <w:style w:type="paragraph" w:customStyle="1" w:styleId="10">
    <w:name w:val="正文 New New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 New New New New New New New New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 New New New New New New New New New New New New New New New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3">
    <w:name w:val="font11"/>
    <w:basedOn w:val="7"/>
    <w:uiPriority w:val="99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21"/>
    <w:basedOn w:val="7"/>
    <w:uiPriority w:val="99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61"/>
    <w:basedOn w:val="7"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页眉 Char"/>
    <w:basedOn w:val="7"/>
    <w:link w:val="5"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17">
    <w:name w:val="页脚 Char"/>
    <w:basedOn w:val="7"/>
    <w:link w:val="4"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18">
    <w:name w:val="批注框文本 Char"/>
    <w:basedOn w:val="7"/>
    <w:link w:val="3"/>
    <w:locked/>
    <w:uiPriority w:val="99"/>
    <w:rPr>
      <w:rFonts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970</Characters>
  <Lines>8</Lines>
  <Paragraphs>2</Paragraphs>
  <TotalTime>10</TotalTime>
  <ScaleCrop>false</ScaleCrop>
  <LinksUpToDate>false</LinksUpToDate>
  <CharactersWithSpaces>1138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2024-03-13T00:56:00Z</dcterms:created>
  <dc:creator>龚春玲</dc:creator>
  <cp:lastModifiedBy>宋翊</cp:lastModifiedBy>
  <dcterms:modified xsi:type="dcterms:W3CDTF">2024-08-02T02:14:40Z</dcterms:modified>
  <dc:title>2022年广州市压缩气体、液化气体产品质量监督抽查结果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