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Times New Roman" w:hAnsi="Times New Roman" w:eastAsia="方正黑体_GBK" w:cs="Times New Roman"/>
          <w:color w:val="auto"/>
          <w:sz w:val="32"/>
          <w:szCs w:val="32"/>
          <w:highlight w:val="none"/>
          <w:lang w:eastAsia="zh-CN"/>
        </w:rPr>
      </w:pPr>
      <mc:AlternateContent>
        <mc:Choice Requires="wpsCustomData">
          <wpsCustomData:docfieldStart id="0" docfieldname="Content" hidden="false" print="true" readonly="false" index="1"/>
        </mc:Choice>
      </mc:AlternateContent>
      <w:bookmarkStart w:id="0" w:name="_GoBack"/>
      <w:bookmarkEnd w:id="0"/>
      <w:r>
        <w:rPr>
          <w:rFonts w:hint="default" w:ascii="Times New Roman" w:hAnsi="Times New Roman" w:eastAsia="方正黑体_GBK" w:cs="Times New Roman"/>
          <w:color w:val="auto"/>
          <w:sz w:val="32"/>
          <w:szCs w:val="32"/>
          <w:highlight w:val="none"/>
        </w:rPr>
        <w:t>附件</w:t>
      </w:r>
      <w:r>
        <w:rPr>
          <w:rFonts w:hint="eastAsia" w:eastAsia="方正黑体_GBK" w:cs="Times New Roman"/>
          <w:color w:val="auto"/>
          <w:sz w:val="32"/>
          <w:szCs w:val="32"/>
          <w:highlight w:val="none"/>
          <w:lang w:val="en-US" w:eastAsia="zh-CN"/>
        </w:rPr>
        <w:t>4</w:t>
      </w:r>
    </w:p>
    <w:p>
      <w:pPr>
        <w:widowControl/>
        <w:spacing w:line="560" w:lineRule="exact"/>
        <w:jc w:val="center"/>
        <w:textAlignment w:val="center"/>
        <w:rPr>
          <w:rFonts w:hint="default" w:ascii="Times New Roman" w:hAnsi="Times New Roman" w:eastAsia="方正小标宋_GBK" w:cs="Times New Roman"/>
          <w:color w:val="auto"/>
          <w:kern w:val="0"/>
          <w:sz w:val="44"/>
          <w:szCs w:val="44"/>
          <w:highlight w:val="none"/>
          <w:lang w:bidi="ar"/>
        </w:rPr>
      </w:pPr>
      <w:r>
        <w:rPr>
          <w:rFonts w:hint="default" w:ascii="Times New Roman" w:hAnsi="Times New Roman" w:eastAsia="方正小标宋_GBK" w:cs="Times New Roman"/>
          <w:color w:val="auto"/>
          <w:kern w:val="0"/>
          <w:sz w:val="44"/>
          <w:szCs w:val="44"/>
          <w:highlight w:val="none"/>
          <w:lang w:bidi="ar"/>
        </w:rPr>
        <w:t>广州市市直医保定点医疗机构年度考核项目</w:t>
      </w:r>
    </w:p>
    <w:p>
      <w:pPr>
        <w:widowControl/>
        <w:spacing w:line="560" w:lineRule="exact"/>
        <w:jc w:val="center"/>
        <w:textAlignment w:val="center"/>
        <w:rPr>
          <w:rFonts w:hint="default" w:ascii="Times New Roman" w:hAnsi="Times New Roman" w:eastAsia="方正小标宋_GBK" w:cs="Times New Roman"/>
          <w:color w:val="auto"/>
          <w:sz w:val="44"/>
          <w:szCs w:val="44"/>
          <w:highlight w:val="none"/>
        </w:rPr>
      </w:pPr>
      <w:r>
        <w:rPr>
          <w:rFonts w:hint="default" w:ascii="Times New Roman" w:hAnsi="Times New Roman" w:eastAsia="方正小标宋_GBK" w:cs="Times New Roman"/>
          <w:color w:val="auto"/>
          <w:kern w:val="0"/>
          <w:sz w:val="44"/>
          <w:szCs w:val="44"/>
          <w:highlight w:val="none"/>
          <w:lang w:bidi="ar"/>
        </w:rPr>
        <w:t>与评分标准</w:t>
      </w:r>
    </w:p>
    <w:tbl>
      <w:tblPr>
        <w:tblStyle w:val="4"/>
        <w:tblW w:w="544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09"/>
        <w:gridCol w:w="615"/>
        <w:gridCol w:w="810"/>
        <w:gridCol w:w="690"/>
        <w:gridCol w:w="690"/>
        <w:gridCol w:w="5474"/>
        <w:gridCol w:w="7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5" w:hRule="atLeast"/>
          <w:tblHeader/>
          <w:jc w:val="center"/>
        </w:trPr>
        <w:tc>
          <w:tcPr>
            <w:tcW w:w="409"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黑体_GBK" w:cs="Times New Roman"/>
                <w:i w:val="0"/>
                <w:iCs w:val="0"/>
                <w:color w:val="auto"/>
                <w:sz w:val="22"/>
                <w:szCs w:val="22"/>
                <w:highlight w:val="none"/>
                <w:u w:val="none"/>
                <w:lang w:eastAsia="zh-CN"/>
              </w:rPr>
            </w:pPr>
            <w:r>
              <w:rPr>
                <w:rFonts w:hint="default" w:ascii="Times New Roman" w:hAnsi="Times New Roman" w:eastAsia="方正黑体_GBK" w:cs="Times New Roman"/>
                <w:i w:val="0"/>
                <w:iCs w:val="0"/>
                <w:color w:val="auto"/>
                <w:sz w:val="22"/>
                <w:szCs w:val="22"/>
                <w:highlight w:val="none"/>
                <w:u w:val="none"/>
                <w:lang w:eastAsia="zh-CN"/>
              </w:rPr>
              <w:t>类别</w:t>
            </w: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黑体_GBK" w:cs="Times New Roman"/>
                <w:i w:val="0"/>
                <w:iCs w:val="0"/>
                <w:color w:val="auto"/>
                <w:sz w:val="22"/>
                <w:szCs w:val="22"/>
                <w:highlight w:val="none"/>
                <w:u w:val="none"/>
              </w:rPr>
            </w:pPr>
            <w:r>
              <w:rPr>
                <w:rFonts w:hint="default" w:ascii="Times New Roman" w:hAnsi="Times New Roman" w:eastAsia="方正黑体_GBK" w:cs="Times New Roman"/>
                <w:i w:val="0"/>
                <w:iCs w:val="0"/>
                <w:color w:val="auto"/>
                <w:kern w:val="0"/>
                <w:sz w:val="22"/>
                <w:szCs w:val="22"/>
                <w:highlight w:val="none"/>
                <w:u w:val="none"/>
                <w:lang w:val="en-US" w:eastAsia="zh-CN" w:bidi="ar"/>
              </w:rPr>
              <w:t>序号</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黑体_GBK" w:cs="Times New Roman"/>
                <w:i w:val="0"/>
                <w:iCs w:val="0"/>
                <w:color w:val="auto"/>
                <w:sz w:val="22"/>
                <w:szCs w:val="22"/>
                <w:highlight w:val="none"/>
                <w:u w:val="none"/>
              </w:rPr>
            </w:pPr>
            <w:r>
              <w:rPr>
                <w:rFonts w:hint="default" w:ascii="Times New Roman" w:hAnsi="Times New Roman" w:eastAsia="方正黑体_GBK" w:cs="Times New Roman"/>
                <w:i w:val="0"/>
                <w:iCs w:val="0"/>
                <w:color w:val="auto"/>
                <w:kern w:val="0"/>
                <w:sz w:val="22"/>
                <w:szCs w:val="22"/>
                <w:highlight w:val="none"/>
                <w:u w:val="none"/>
                <w:lang w:val="en-US" w:eastAsia="zh-CN" w:bidi="ar"/>
              </w:rPr>
              <w:t>考核项目</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黑体_GBK" w:cs="Times New Roman"/>
                <w:i w:val="0"/>
                <w:iCs w:val="0"/>
                <w:color w:val="auto"/>
                <w:sz w:val="22"/>
                <w:szCs w:val="22"/>
                <w:highlight w:val="none"/>
                <w:u w:val="none"/>
              </w:rPr>
            </w:pPr>
            <w:r>
              <w:rPr>
                <w:rFonts w:hint="default" w:ascii="Times New Roman" w:hAnsi="Times New Roman" w:eastAsia="方正黑体_GBK" w:cs="Times New Roman"/>
                <w:i w:val="0"/>
                <w:iCs w:val="0"/>
                <w:color w:val="auto"/>
                <w:kern w:val="0"/>
                <w:sz w:val="22"/>
                <w:szCs w:val="22"/>
                <w:highlight w:val="none"/>
                <w:u w:val="none"/>
                <w:lang w:val="en-US" w:eastAsia="zh-CN" w:bidi="ar"/>
              </w:rPr>
              <w:t>考核方式</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黑体_GBK" w:cs="Times New Roman"/>
                <w:i w:val="0"/>
                <w:iCs w:val="0"/>
                <w:color w:val="auto"/>
                <w:sz w:val="22"/>
                <w:szCs w:val="22"/>
                <w:highlight w:val="none"/>
                <w:u w:val="none"/>
              </w:rPr>
            </w:pPr>
            <w:r>
              <w:rPr>
                <w:rFonts w:hint="default" w:ascii="Times New Roman" w:hAnsi="Times New Roman" w:eastAsia="方正黑体_GBK" w:cs="Times New Roman"/>
                <w:i w:val="0"/>
                <w:iCs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黑体_GBK" w:cs="Times New Roman"/>
                <w:i w:val="0"/>
                <w:iCs w:val="0"/>
                <w:color w:val="auto"/>
                <w:sz w:val="22"/>
                <w:szCs w:val="22"/>
                <w:highlight w:val="none"/>
                <w:u w:val="none"/>
              </w:rPr>
            </w:pPr>
            <w:r>
              <w:rPr>
                <w:rFonts w:hint="default" w:ascii="Times New Roman" w:hAnsi="Times New Roman" w:eastAsia="方正黑体_GBK" w:cs="Times New Roman"/>
                <w:i w:val="0"/>
                <w:iCs w:val="0"/>
                <w:color w:val="auto"/>
                <w:kern w:val="0"/>
                <w:sz w:val="22"/>
                <w:szCs w:val="22"/>
                <w:highlight w:val="none"/>
                <w:u w:val="none"/>
                <w:lang w:val="en-US" w:eastAsia="zh-CN" w:bidi="ar"/>
              </w:rPr>
              <w:t>评分标准</w:t>
            </w:r>
          </w:p>
        </w:tc>
        <w:tc>
          <w:tcPr>
            <w:tcW w:w="39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黑体_GBK" w:cs="Times New Roman"/>
                <w:i w:val="0"/>
                <w:iCs w:val="0"/>
                <w:color w:val="auto"/>
                <w:kern w:val="0"/>
                <w:sz w:val="22"/>
                <w:szCs w:val="22"/>
                <w:highlight w:val="none"/>
                <w:u w:val="none"/>
                <w:lang w:val="en-US" w:eastAsia="zh-CN" w:bidi="ar"/>
              </w:rPr>
            </w:pPr>
            <w:r>
              <w:rPr>
                <w:rFonts w:hint="default" w:ascii="Times New Roman" w:hAnsi="Times New Roman" w:eastAsia="方正黑体_GBK" w:cs="Times New Roman"/>
                <w:i w:val="0"/>
                <w:iCs w:val="0"/>
                <w:color w:val="auto"/>
                <w:kern w:val="0"/>
                <w:sz w:val="22"/>
                <w:szCs w:val="22"/>
                <w:highlight w:val="none"/>
                <w:u w:val="none"/>
                <w:lang w:val="en-US" w:eastAsia="zh-CN" w:bidi="ar"/>
              </w:rPr>
              <w:t>基本</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黑体_GBK" w:cs="Times New Roman"/>
                <w:i w:val="0"/>
                <w:iCs w:val="0"/>
                <w:color w:val="auto"/>
                <w:sz w:val="22"/>
                <w:szCs w:val="22"/>
                <w:highlight w:val="none"/>
                <w:u w:val="none"/>
              </w:rPr>
            </w:pPr>
            <w:r>
              <w:rPr>
                <w:rFonts w:hint="default" w:ascii="Times New Roman" w:hAnsi="Times New Roman" w:eastAsia="方正黑体_GBK" w:cs="Times New Roman"/>
                <w:i w:val="0"/>
                <w:iCs w:val="0"/>
                <w:color w:val="auto"/>
                <w:kern w:val="0"/>
                <w:sz w:val="22"/>
                <w:szCs w:val="22"/>
                <w:highlight w:val="none"/>
                <w:u w:val="none"/>
                <w:lang w:val="en-US" w:eastAsia="zh-CN" w:bidi="ar"/>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50" w:hRule="atLeast"/>
          <w:jc w:val="center"/>
        </w:trPr>
        <w:tc>
          <w:tcPr>
            <w:tcW w:w="409"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r>
              <w:rPr>
                <w:rFonts w:hint="default" w:ascii="Times New Roman" w:hAnsi="Times New Roman" w:eastAsia="方正仿宋_GBK" w:cs="Times New Roman"/>
                <w:b/>
                <w:bCs/>
                <w:i w:val="0"/>
                <w:iCs w:val="0"/>
                <w:color w:val="auto"/>
                <w:kern w:val="0"/>
                <w:sz w:val="22"/>
                <w:szCs w:val="22"/>
                <w:highlight w:val="none"/>
                <w:u w:val="none"/>
                <w:lang w:val="en-US" w:eastAsia="zh-CN" w:bidi="ar"/>
              </w:rPr>
              <w:t>内部管理情况</w:t>
            </w: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1</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b w:val="0"/>
                <w:bCs w:val="0"/>
                <w:i w:val="0"/>
                <w:iCs w:val="0"/>
                <w:color w:val="auto"/>
                <w:kern w:val="0"/>
                <w:sz w:val="22"/>
                <w:szCs w:val="22"/>
                <w:highlight w:val="none"/>
                <w:u w:val="none"/>
                <w:lang w:val="en-US" w:eastAsia="zh-CN" w:bidi="ar"/>
              </w:rPr>
              <w:t>医保管理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iCs w:val="0"/>
                <w:color w:val="auto"/>
                <w:kern w:val="0"/>
                <w:sz w:val="22"/>
                <w:szCs w:val="22"/>
                <w:highlight w:val="none"/>
                <w:u w:val="none"/>
                <w:lang w:val="en-US" w:eastAsia="zh-CN" w:bidi="ar"/>
              </w:rPr>
            </w:pPr>
            <w:r>
              <w:rPr>
                <w:rFonts w:hint="default" w:ascii="Times New Roman" w:hAnsi="Times New Roman" w:eastAsia="方正仿宋_GBK" w:cs="Times New Roman"/>
                <w:i w:val="0"/>
                <w:iCs w:val="0"/>
                <w:color w:val="auto"/>
                <w:kern w:val="0"/>
                <w:sz w:val="22"/>
                <w:szCs w:val="22"/>
                <w:highlight w:val="none"/>
                <w:u w:val="none"/>
                <w:lang w:val="en-US" w:eastAsia="zh-CN" w:bidi="ar"/>
              </w:rPr>
              <w:t>①未建立健全市直医保服务管理部门，扣30分；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iCs/>
                <w:color w:val="auto"/>
                <w:kern w:val="0"/>
                <w:sz w:val="22"/>
                <w:szCs w:val="22"/>
                <w:highlight w:val="none"/>
                <w:u w:val="none"/>
                <w:lang w:val="en-US" w:eastAsia="zh-CN" w:bidi="ar"/>
              </w:rPr>
            </w:pPr>
            <w:r>
              <w:rPr>
                <w:rFonts w:hint="default" w:ascii="Times New Roman" w:hAnsi="Times New Roman" w:eastAsia="方正仿宋_GBK" w:cs="Times New Roman"/>
                <w:i w:val="0"/>
                <w:iCs w:val="0"/>
                <w:color w:val="auto"/>
                <w:kern w:val="0"/>
                <w:sz w:val="22"/>
                <w:szCs w:val="22"/>
                <w:highlight w:val="none"/>
                <w:u w:val="none"/>
                <w:lang w:val="en-US" w:eastAsia="zh-CN" w:bidi="ar"/>
              </w:rPr>
              <w:t>②未配备专（兼）职市直医保管理人员的，其中二级及以上或100张床位以上的医疗机构未配备专职工作人员的，扣50分。</w:t>
            </w:r>
          </w:p>
        </w:tc>
        <w:tc>
          <w:tcPr>
            <w:tcW w:w="397"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auto"/>
                <w:kern w:val="0"/>
                <w:sz w:val="22"/>
                <w:szCs w:val="22"/>
                <w:highlight w:val="none"/>
                <w:u w:val="none"/>
                <w:lang w:val="en-US" w:eastAsia="zh-CN" w:bidi="ar"/>
              </w:rPr>
            </w:pPr>
            <w:r>
              <w:rPr>
                <w:rFonts w:hint="default" w:ascii="Times New Roman" w:hAnsi="Times New Roman" w:eastAsia="方正仿宋_GBK" w:cs="Times New Roman"/>
                <w:i w:val="0"/>
                <w:iCs w:val="0"/>
                <w:color w:val="auto"/>
                <w:kern w:val="0"/>
                <w:sz w:val="22"/>
                <w:szCs w:val="22"/>
                <w:highlight w:val="none"/>
                <w:u w:val="none"/>
                <w:lang w:val="en-US" w:eastAsia="zh-CN" w:bidi="ar"/>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90"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2</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制度建设</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①未制定市直医保</w:t>
            </w:r>
            <w:r>
              <w:rPr>
                <w:rFonts w:hint="default" w:ascii="Times New Roman" w:hAnsi="Times New Roman" w:eastAsia="方正仿宋_GBK" w:cs="Times New Roman"/>
                <w:i w:val="0"/>
                <w:iCs w:val="0"/>
                <w:color w:val="auto"/>
                <w:kern w:val="0"/>
                <w:sz w:val="22"/>
                <w:szCs w:val="22"/>
                <w:highlight w:val="none"/>
                <w:u w:val="none"/>
                <w:lang w:val="en-US" w:eastAsia="zh-CN" w:bidi="ar"/>
              </w:rPr>
              <w:t>门诊特定病种病历管理、</w:t>
            </w:r>
            <w:r>
              <w:rPr>
                <w:rFonts w:hint="default" w:ascii="Times New Roman" w:hAnsi="Times New Roman" w:eastAsia="方正仿宋_GBK" w:cs="Times New Roman"/>
                <w:i w:val="0"/>
                <w:color w:val="auto"/>
                <w:kern w:val="0"/>
                <w:sz w:val="22"/>
                <w:szCs w:val="22"/>
                <w:highlight w:val="none"/>
                <w:u w:val="none"/>
                <w:lang w:val="en-US" w:eastAsia="zh-CN" w:bidi="ar"/>
              </w:rPr>
              <w:t>市直医保</w:t>
            </w:r>
            <w:r>
              <w:rPr>
                <w:rFonts w:hint="default" w:ascii="Times New Roman" w:hAnsi="Times New Roman" w:eastAsia="方正仿宋_GBK" w:cs="Times New Roman"/>
                <w:i w:val="0"/>
                <w:iCs w:val="0"/>
                <w:color w:val="auto"/>
                <w:kern w:val="0"/>
                <w:sz w:val="22"/>
                <w:szCs w:val="22"/>
                <w:highlight w:val="none"/>
                <w:u w:val="none"/>
                <w:lang w:val="en-US" w:eastAsia="zh-CN" w:bidi="ar"/>
              </w:rPr>
              <w:t>档案资料管理、</w:t>
            </w:r>
            <w:r>
              <w:rPr>
                <w:rFonts w:hint="default" w:ascii="Times New Roman" w:hAnsi="Times New Roman" w:eastAsia="方正仿宋_GBK" w:cs="Times New Roman"/>
                <w:i w:val="0"/>
                <w:color w:val="auto"/>
                <w:kern w:val="0"/>
                <w:sz w:val="22"/>
                <w:szCs w:val="22"/>
                <w:highlight w:val="none"/>
                <w:u w:val="none"/>
                <w:lang w:val="en-US" w:eastAsia="zh-CN" w:bidi="ar"/>
              </w:rPr>
              <w:t>市直医保</w:t>
            </w:r>
            <w:r>
              <w:rPr>
                <w:rFonts w:hint="default" w:ascii="Times New Roman" w:hAnsi="Times New Roman" w:eastAsia="方正仿宋_GBK" w:cs="Times New Roman"/>
                <w:i w:val="0"/>
                <w:iCs w:val="0"/>
                <w:color w:val="auto"/>
                <w:kern w:val="0"/>
                <w:sz w:val="22"/>
                <w:szCs w:val="22"/>
                <w:highlight w:val="none"/>
                <w:u w:val="none"/>
                <w:lang w:val="en-US" w:eastAsia="zh-CN" w:bidi="ar"/>
              </w:rPr>
              <w:t>定点医疗机构医保信息系统故障应急预案等制度或措施的，每缺少一项扣20分；</w:t>
            </w:r>
            <w:r>
              <w:rPr>
                <w:rFonts w:hint="default" w:ascii="Times New Roman" w:hAnsi="Times New Roman" w:eastAsia="方正仿宋_GBK" w:cs="Times New Roman"/>
                <w:i w:val="0"/>
                <w:color w:val="auto"/>
                <w:kern w:val="0"/>
                <w:sz w:val="22"/>
                <w:szCs w:val="22"/>
                <w:highlight w:val="none"/>
                <w:u w:val="none"/>
                <w:lang w:val="en-US" w:eastAsia="zh-CN" w:bidi="ar"/>
              </w:rPr>
              <w:t>②未建立市直医保病历自评自审制度的扣25分（不含门诊）；③未能提供本机构市直医保基金使用情况检查记录的扣15分；④未建立市直医保基金内部管理制度的扣20分；⑤丢失或现场未能提供协议年度内市直医保定点医疗机构医疗服务协议书的纸质版或电子版，扣30分；⑥市直医保文件资料保管不全的，每份文件扣10分，最高扣50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iCs w:val="0"/>
                <w:color w:val="auto"/>
                <w:kern w:val="0"/>
                <w:sz w:val="22"/>
                <w:szCs w:val="22"/>
                <w:highlight w:val="none"/>
                <w:u w:val="none"/>
                <w:lang w:val="en-US" w:eastAsia="zh-CN" w:bidi="ar"/>
              </w:rPr>
            </w:pPr>
            <w:r>
              <w:rPr>
                <w:rFonts w:hint="default" w:ascii="Times New Roman" w:hAnsi="Times New Roman" w:eastAsia="方正仿宋_GBK" w:cs="Times New Roman"/>
                <w:i w:val="0"/>
                <w:iCs w:val="0"/>
                <w:color w:val="auto"/>
                <w:kern w:val="0"/>
                <w:sz w:val="22"/>
                <w:szCs w:val="22"/>
                <w:highlight w:val="none"/>
                <w:u w:val="none"/>
                <w:lang w:val="en-US" w:eastAsia="zh-CN" w:bidi="ar"/>
              </w:rPr>
              <w:t>本项最高扣80分。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88"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2"/>
                <w:sz w:val="22"/>
                <w:szCs w:val="22"/>
                <w:highlight w:val="none"/>
                <w:u w:val="none"/>
                <w:lang w:val="en-US" w:eastAsia="zh-CN" w:bidi="ar-SA"/>
              </w:rPr>
            </w:pPr>
            <w:r>
              <w:rPr>
                <w:rFonts w:hint="default" w:ascii="Times New Roman" w:hAnsi="Times New Roman" w:eastAsia="宋体" w:cs="Times New Roman"/>
                <w:i w:val="0"/>
                <w:iCs w:val="0"/>
                <w:color w:val="auto"/>
                <w:kern w:val="2"/>
                <w:sz w:val="22"/>
                <w:szCs w:val="22"/>
                <w:highlight w:val="none"/>
                <w:u w:val="none"/>
                <w:lang w:val="en-US" w:eastAsia="zh-CN" w:bidi="ar-SA"/>
              </w:rPr>
              <w:t>3</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color w:val="auto"/>
                <w:kern w:val="0"/>
                <w:sz w:val="22"/>
                <w:szCs w:val="22"/>
                <w:highlight w:val="none"/>
                <w:lang w:bidi="ar"/>
              </w:rPr>
              <w:t>宣传</w:t>
            </w:r>
            <w:r>
              <w:rPr>
                <w:rFonts w:hint="default" w:ascii="Times New Roman" w:hAnsi="Times New Roman" w:eastAsia="方正仿宋_GBK" w:cs="Times New Roman"/>
                <w:color w:val="auto"/>
                <w:kern w:val="0"/>
                <w:sz w:val="22"/>
                <w:szCs w:val="22"/>
                <w:highlight w:val="none"/>
                <w:lang w:eastAsia="zh-CN" w:bidi="ar"/>
              </w:rPr>
              <w:t>及</w:t>
            </w:r>
            <w:r>
              <w:rPr>
                <w:rFonts w:hint="default" w:ascii="Times New Roman" w:hAnsi="Times New Roman" w:eastAsia="方正仿宋_GBK" w:cs="Times New Roman"/>
                <w:i w:val="0"/>
                <w:color w:val="auto"/>
                <w:kern w:val="0"/>
                <w:sz w:val="22"/>
                <w:szCs w:val="22"/>
                <w:highlight w:val="none"/>
                <w:u w:val="none"/>
                <w:lang w:val="en-US" w:eastAsia="zh-CN" w:bidi="ar"/>
              </w:rPr>
              <w:t>投诉管理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市直医疗保险咨询服务或就医流程指引不准确，经查实的有效投诉，或未落实市医保中心有关宣传要求的，扣40分；②未在医疗机构显著位置采取适当的方式公开投诉、意见收集渠道的，扣50分；③没有及时（超过5个工作日的）处理医疗保险投诉箱内的举报信件，每例扣20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本项最高扣100分。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8"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2"/>
                <w:sz w:val="22"/>
                <w:szCs w:val="22"/>
                <w:highlight w:val="none"/>
                <w:u w:val="none"/>
                <w:lang w:val="en-US" w:eastAsia="zh-CN" w:bidi="ar-SA"/>
              </w:rPr>
            </w:pPr>
            <w:r>
              <w:rPr>
                <w:rFonts w:hint="default" w:ascii="Times New Roman" w:hAnsi="Times New Roman" w:eastAsia="宋体" w:cs="Times New Roman"/>
                <w:i w:val="0"/>
                <w:iCs w:val="0"/>
                <w:color w:val="auto"/>
                <w:kern w:val="0"/>
                <w:sz w:val="22"/>
                <w:szCs w:val="22"/>
                <w:highlight w:val="none"/>
                <w:u w:val="none"/>
                <w:lang w:val="en-US" w:eastAsia="zh-CN" w:bidi="ar"/>
              </w:rPr>
              <w:t>4</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color w:val="auto"/>
                <w:kern w:val="0"/>
                <w:sz w:val="22"/>
                <w:szCs w:val="22"/>
                <w:highlight w:val="none"/>
                <w:lang w:bidi="ar"/>
              </w:rPr>
              <w:t>内部</w:t>
            </w:r>
            <w:r>
              <w:rPr>
                <w:rFonts w:hint="default" w:ascii="Times New Roman" w:hAnsi="Times New Roman" w:eastAsia="方正仿宋_GBK" w:cs="Times New Roman"/>
                <w:i w:val="0"/>
                <w:color w:val="auto"/>
                <w:kern w:val="0"/>
                <w:sz w:val="22"/>
                <w:szCs w:val="22"/>
                <w:highlight w:val="none"/>
                <w:u w:val="none"/>
                <w:lang w:val="en-US" w:eastAsia="zh-CN" w:bidi="ar"/>
              </w:rPr>
              <w:t>培训管理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①未按规定组织开展院内市直医保相关政策培训的，扣50分；②未制定详细、具体的市直医疗保险政策培训计划并实施的扣30分。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8"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cs="Times New Roman"/>
                <w:i w:val="0"/>
                <w:iCs w:val="0"/>
                <w:color w:val="auto"/>
                <w:kern w:val="0"/>
                <w:sz w:val="22"/>
                <w:szCs w:val="22"/>
                <w:highlight w:val="none"/>
                <w:u w:val="none"/>
                <w:lang w:val="en-US" w:eastAsia="zh-CN" w:bidi="ar"/>
              </w:rPr>
              <w:t>5</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参保人员身份校验</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不按规定校验市直医保就医凭证的，每查实一例扣10分；②对于持广州市社会保障卡、居民身份证或医保电子凭证就医的市直医保参保人员，未严格落实通过“社会保障卡读卡器”或者“医保电子凭证”获取就诊人员信息的规定即予记账结算的，每查实一例扣20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本项最高扣60分。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03"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cs="Times New Roman"/>
                <w:i w:val="0"/>
                <w:iCs w:val="0"/>
                <w:color w:val="auto"/>
                <w:kern w:val="0"/>
                <w:sz w:val="22"/>
                <w:szCs w:val="22"/>
                <w:highlight w:val="none"/>
                <w:u w:val="none"/>
                <w:lang w:val="en-US" w:eastAsia="zh-CN" w:bidi="ar"/>
              </w:rPr>
              <w:t>6</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基础信息</w:t>
            </w:r>
          </w:p>
        </w:tc>
        <w:tc>
          <w:tcPr>
            <w:tcW w:w="349" w:type="pct"/>
            <w:tcBorders>
              <w:tl2br w:val="nil"/>
              <w:tr2bl w:val="nil"/>
            </w:tcBorders>
            <w:noWrap w:val="0"/>
            <w:vAlign w:val="center"/>
          </w:tcPr>
          <w:p>
            <w:pPr>
              <w:widowControl/>
              <w:spacing w:line="300" w:lineRule="exact"/>
              <w:jc w:val="center"/>
              <w:textAlignment w:val="center"/>
              <w:rPr>
                <w:rFonts w:hint="default" w:ascii="Times New Roman" w:hAnsi="Times New Roman" w:eastAsia="方正仿宋_GBK" w:cs="Times New Roman"/>
                <w:color w:val="auto"/>
                <w:kern w:val="0"/>
                <w:sz w:val="22"/>
                <w:szCs w:val="22"/>
                <w:highlight w:val="none"/>
                <w:lang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r>
              <w:rPr>
                <w:rFonts w:hint="default" w:ascii="Times New Roman" w:hAnsi="Times New Roman" w:eastAsia="方正仿宋_GBK" w:cs="Times New Roman"/>
                <w:color w:val="auto"/>
                <w:kern w:val="0"/>
                <w:sz w:val="22"/>
                <w:szCs w:val="22"/>
                <w:highlight w:val="none"/>
                <w:lang w:bidi="ar"/>
              </w:rPr>
              <w:t>——</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color w:val="auto"/>
                <w:kern w:val="0"/>
                <w:sz w:val="22"/>
                <w:szCs w:val="22"/>
                <w:highlight w:val="none"/>
                <w:lang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①抽查定点医疗机构基础信息（含联系人等），每错、漏1项扣20分；②核查电子签约系统中乙方、法定代表人、统一社会信用代码及地址是否有误，每错误一项扣20分。</w:t>
            </w:r>
          </w:p>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本项最高扣60分。（由于一证多址定点地址不同，信息与医保可能不全相同）</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43"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cs="Times New Roman"/>
                <w:i w:val="0"/>
                <w:iCs w:val="0"/>
                <w:color w:val="auto"/>
                <w:kern w:val="0"/>
                <w:sz w:val="22"/>
                <w:szCs w:val="22"/>
                <w:highlight w:val="none"/>
                <w:u w:val="none"/>
                <w:lang w:val="en-US" w:eastAsia="zh-CN" w:bidi="ar"/>
              </w:rPr>
              <w:t>7</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信息维护</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抽查国家医保局数据库医保医师、护士信息维护准确率及赋码率，每错1例扣10分，</w:t>
            </w:r>
            <w:r>
              <w:rPr>
                <w:rFonts w:hint="default" w:ascii="Times New Roman" w:hAnsi="Times New Roman" w:eastAsia="方正仿宋_GBK" w:cs="Times New Roman"/>
                <w:i w:val="0"/>
                <w:iCs w:val="0"/>
                <w:color w:val="auto"/>
                <w:kern w:val="0"/>
                <w:sz w:val="22"/>
                <w:szCs w:val="22"/>
                <w:highlight w:val="none"/>
                <w:u w:val="none"/>
                <w:lang w:val="en-US" w:eastAsia="zh-CN" w:bidi="ar"/>
              </w:rPr>
              <w:t>赋码率低于100%，每降低1%扣10分（100%&gt;赋码率≧99%，扣10分，99%&gt;赋码率≧98%，扣20分，以此类推）</w:t>
            </w:r>
            <w:r>
              <w:rPr>
                <w:rFonts w:hint="default" w:ascii="Times New Roman" w:hAnsi="Times New Roman" w:eastAsia="方正仿宋_GBK" w:cs="Times New Roman"/>
                <w:i w:val="0"/>
                <w:color w:val="auto"/>
                <w:kern w:val="0"/>
                <w:sz w:val="22"/>
                <w:szCs w:val="22"/>
                <w:highlight w:val="none"/>
                <w:u w:val="none"/>
                <w:lang w:val="en-US" w:eastAsia="zh-CN" w:bidi="ar"/>
              </w:rPr>
              <w:t>。本项最高扣80分。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33"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cs="Times New Roman"/>
                <w:i w:val="0"/>
                <w:iCs w:val="0"/>
                <w:color w:val="auto"/>
                <w:kern w:val="0"/>
                <w:sz w:val="22"/>
                <w:szCs w:val="22"/>
                <w:highlight w:val="none"/>
                <w:u w:val="none"/>
                <w:lang w:val="en-US" w:eastAsia="zh-CN" w:bidi="ar"/>
              </w:rPr>
              <w:t>8</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财务管理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iCs w:val="0"/>
                <w:color w:val="auto"/>
                <w:kern w:val="0"/>
                <w:sz w:val="22"/>
                <w:szCs w:val="22"/>
                <w:highlight w:val="none"/>
                <w:u w:val="none"/>
                <w:lang w:val="en-US" w:eastAsia="zh-CN" w:bidi="ar"/>
              </w:rPr>
              <w:t>①年度清算结束后，按规定医疗保障基金不予支付的医疗费用，未做账务核销处理的，每查实一项扣50分</w:t>
            </w:r>
            <w:r>
              <w:rPr>
                <w:rFonts w:hint="default" w:ascii="Times New Roman" w:hAnsi="Times New Roman" w:eastAsia="方正仿宋_GBK" w:cs="Times New Roman"/>
                <w:i w:val="0"/>
                <w:color w:val="auto"/>
                <w:kern w:val="0"/>
                <w:sz w:val="22"/>
                <w:szCs w:val="22"/>
                <w:highlight w:val="none"/>
                <w:u w:val="none"/>
                <w:lang w:val="en-US" w:eastAsia="zh-CN" w:bidi="ar"/>
              </w:rPr>
              <w:t>；②未按中心通知内容规范操作返还医保违规费用，如退错收款账户，未按要求备注或备注不清等，每查实一项扣10分；③未按规定及时办理银行结算资料变更的手续，每次扣30分。</w:t>
            </w:r>
          </w:p>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iCs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本项最高扣80分。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95" w:hRule="atLeast"/>
          <w:jc w:val="center"/>
        </w:trPr>
        <w:tc>
          <w:tcPr>
            <w:tcW w:w="409"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r>
              <w:rPr>
                <w:rFonts w:hint="default" w:ascii="Times New Roman" w:hAnsi="Times New Roman" w:eastAsia="方正仿宋_GBK" w:cs="Times New Roman"/>
                <w:b/>
                <w:bCs/>
                <w:i w:val="0"/>
                <w:iCs w:val="0"/>
                <w:color w:val="auto"/>
                <w:kern w:val="0"/>
                <w:sz w:val="22"/>
                <w:szCs w:val="22"/>
                <w:highlight w:val="none"/>
                <w:u w:val="none"/>
                <w:lang w:val="en-US" w:eastAsia="zh-CN" w:bidi="ar"/>
              </w:rPr>
              <w:t>医疗服务情况</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2"/>
                <w:sz w:val="22"/>
                <w:szCs w:val="22"/>
                <w:highlight w:val="none"/>
                <w:u w:val="none"/>
                <w:lang w:val="en-US" w:eastAsia="zh-CN" w:bidi="ar-SA"/>
              </w:rPr>
            </w:pPr>
            <w:r>
              <w:rPr>
                <w:rFonts w:hint="default" w:ascii="Times New Roman" w:hAnsi="Times New Roman" w:eastAsia="宋体" w:cs="Times New Roman"/>
                <w:i w:val="0"/>
                <w:iCs w:val="0"/>
                <w:color w:val="auto"/>
                <w:kern w:val="0"/>
                <w:sz w:val="22"/>
                <w:szCs w:val="22"/>
                <w:highlight w:val="none"/>
                <w:u w:val="none"/>
                <w:lang w:val="en-US" w:eastAsia="zh-CN" w:bidi="ar"/>
              </w:rPr>
              <w:t>9</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政策考核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抽取医疗管理人员和医务人员进行测验：三级医院抽10人、二级医院抽5人、</w:t>
            </w:r>
            <w:r>
              <w:rPr>
                <w:rFonts w:hint="default" w:ascii="Times New Roman" w:hAnsi="Times New Roman" w:eastAsia="方正仿宋_GBK" w:cs="Times New Roman"/>
                <w:i w:val="0"/>
                <w:iCs w:val="0"/>
                <w:color w:val="auto"/>
                <w:kern w:val="0"/>
                <w:sz w:val="22"/>
                <w:szCs w:val="22"/>
                <w:highlight w:val="none"/>
                <w:u w:val="none"/>
                <w:lang w:val="en-US" w:eastAsia="zh-CN" w:bidi="ar"/>
              </w:rPr>
              <w:t>一级或未定级医院抽5人（不足5人的当天在岗人员均参加测验）</w:t>
            </w:r>
            <w:r>
              <w:rPr>
                <w:rFonts w:hint="default" w:ascii="Times New Roman" w:hAnsi="Times New Roman" w:eastAsia="方正仿宋_GBK" w:cs="Times New Roman"/>
                <w:i w:val="0"/>
                <w:color w:val="auto"/>
                <w:kern w:val="0"/>
                <w:sz w:val="22"/>
                <w:szCs w:val="22"/>
                <w:highlight w:val="none"/>
                <w:u w:val="none"/>
                <w:lang w:val="en-US" w:eastAsia="zh-CN" w:bidi="ar"/>
              </w:rPr>
              <w:t>。成绩平均分85分为合格，85&gt;平均分≥75，扣20分，75&gt;平均分≥65，扣40分，低于65分，扣60分。本项最高扣60分。</w:t>
            </w:r>
          </w:p>
        </w:tc>
        <w:tc>
          <w:tcPr>
            <w:tcW w:w="397"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lang w:val="en-US"/>
              </w:rPr>
            </w:pPr>
            <w:r>
              <w:rPr>
                <w:rFonts w:hint="default" w:ascii="Times New Roman" w:hAnsi="Times New Roman" w:cs="Times New Roman"/>
                <w:i w:val="0"/>
                <w:iCs w:val="0"/>
                <w:color w:val="auto"/>
                <w:kern w:val="0"/>
                <w:sz w:val="22"/>
                <w:szCs w:val="22"/>
                <w:highlight w:val="none"/>
                <w:u w:val="none"/>
                <w:lang w:val="en-US" w:eastAsia="zh-CN" w:bidi="ar"/>
              </w:rPr>
              <w:t>380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5" w:hRule="atLeast"/>
          <w:jc w:val="center"/>
        </w:trPr>
        <w:tc>
          <w:tcPr>
            <w:tcW w:w="409"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2"/>
                <w:sz w:val="22"/>
                <w:szCs w:val="22"/>
                <w:highlight w:val="none"/>
                <w:u w:val="none"/>
                <w:lang w:val="en-US" w:eastAsia="zh-CN" w:bidi="ar-SA"/>
              </w:rPr>
            </w:pPr>
            <w:r>
              <w:rPr>
                <w:rFonts w:hint="default" w:ascii="Times New Roman" w:hAnsi="Times New Roman" w:eastAsia="宋体" w:cs="Times New Roman"/>
                <w:i w:val="0"/>
                <w:iCs w:val="0"/>
                <w:color w:val="auto"/>
                <w:kern w:val="0"/>
                <w:sz w:val="22"/>
                <w:szCs w:val="22"/>
                <w:highlight w:val="none"/>
                <w:u w:val="none"/>
                <w:lang w:val="en-US" w:eastAsia="zh-CN" w:bidi="ar"/>
              </w:rPr>
              <w:t>10</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药品管理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常用药品价格标准不公开的，扣30分。</w:t>
            </w:r>
          </w:p>
        </w:tc>
        <w:tc>
          <w:tcPr>
            <w:tcW w:w="397"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12"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1</w:t>
            </w:r>
            <w:r>
              <w:rPr>
                <w:rFonts w:hint="default" w:ascii="Times New Roman" w:hAnsi="Times New Roman" w:cs="Times New Roman"/>
                <w:i w:val="0"/>
                <w:iCs w:val="0"/>
                <w:color w:val="auto"/>
                <w:kern w:val="0"/>
                <w:sz w:val="22"/>
                <w:szCs w:val="22"/>
                <w:highlight w:val="none"/>
                <w:u w:val="none"/>
                <w:lang w:val="en-US" w:eastAsia="zh-CN" w:bidi="ar"/>
              </w:rPr>
              <w:t>1</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收费管理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①医疗服务价格未按规定公开的，扣30分；②药品售价、医疗服务项目和价格未按照有关部门有关规定执行的，每查实一个人次或一个药品品种扣10分（参加公立医院改革的定点医疗机构抽查10项）；</w:t>
            </w:r>
          </w:p>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③收费票据打印不完整、不准确，未主动及时为市直医保参保人如实提供标准格式的门诊费用清单和财税部门专用票据的，每例扣10分；④不能提供市直医保参保人就医的财税部门专用票据存根联或复印件的，每例扣20分；⑤收费项目与实际开展情况不符的（不含串换项目行为），每例扣20分。⑥签订《广州市医疗保障定点医疗机构医疗服务项目结算补充协议（非公立）》的非公立医疗机构，未按约定参加药品、医用耗材集中采购并实施药品、医用耗材“零加成”收费的，每发现一例扣20分。</w:t>
            </w:r>
          </w:p>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本项最高扣150分。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2"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1</w:t>
            </w:r>
            <w:r>
              <w:rPr>
                <w:rFonts w:hint="default" w:ascii="Times New Roman" w:hAnsi="Times New Roman" w:cs="Times New Roman"/>
                <w:i w:val="0"/>
                <w:iCs w:val="0"/>
                <w:color w:val="auto"/>
                <w:kern w:val="0"/>
                <w:sz w:val="22"/>
                <w:szCs w:val="22"/>
                <w:highlight w:val="none"/>
                <w:u w:val="none"/>
                <w:lang w:val="en-US" w:eastAsia="zh-CN" w:bidi="ar"/>
              </w:rPr>
              <w:t>2</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门诊就医管理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抽查20份市直医保门诊处方用于核查（如为“双通道”协议定点医疗机构的，含5份“双通道”门诊处方按现有要求考核诊疗合理性）：①市直医保门诊处方填写不完整、不规范，每例扣5分，最高扣40分；②市直医保处方未按照规定单独管理的，扣10分；③有其他不符合《广东省基本医疗保险诊疗常规》治疗规范的，每查实一例扣20分。</w:t>
            </w:r>
          </w:p>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本项最高扣150分（处方数量少于本次考核需求数量的，按实际提供，下同）。</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42"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1</w:t>
            </w:r>
            <w:r>
              <w:rPr>
                <w:rFonts w:hint="default" w:ascii="Times New Roman" w:hAnsi="Times New Roman" w:cs="Times New Roman"/>
                <w:i w:val="0"/>
                <w:iCs w:val="0"/>
                <w:color w:val="auto"/>
                <w:kern w:val="0"/>
                <w:sz w:val="22"/>
                <w:szCs w:val="22"/>
                <w:highlight w:val="none"/>
                <w:u w:val="none"/>
                <w:lang w:val="en-US" w:eastAsia="zh-CN" w:bidi="ar"/>
              </w:rPr>
              <w:t>3</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门特管理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选取10位市直医保参保人门特病例（如为“双通道”协议定点医疗机构的，含5份“双通道”门特处方）核查①至③项：①未按规定保管市直医保门特处方申请单的，每例扣10分；②市直医保门特审核不准确、资料不完整、资料未归档的，每例扣10分；</w:t>
            </w:r>
          </w:p>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③在市直医保门特申请有效期内诊疗是否合理，缺乏针对性治疗、仅有辅助治疗或过度诊疗的，每例扣20分；④抽查10人次市直医保二类门特申请记录，不符合要求的，每一例扣20分；⑤查实存在其他不规范情形参照市直医保住院就医管理的有关条款进行扣分。</w:t>
            </w:r>
          </w:p>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本项最高扣100分。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85"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1</w:t>
            </w:r>
            <w:r>
              <w:rPr>
                <w:rFonts w:hint="default" w:ascii="Times New Roman" w:hAnsi="Times New Roman" w:cs="Times New Roman"/>
                <w:i w:val="0"/>
                <w:iCs w:val="0"/>
                <w:color w:val="auto"/>
                <w:kern w:val="0"/>
                <w:sz w:val="22"/>
                <w:szCs w:val="22"/>
                <w:highlight w:val="none"/>
                <w:u w:val="none"/>
                <w:lang w:val="en-US" w:eastAsia="zh-CN" w:bidi="ar"/>
              </w:rPr>
              <w:t>4</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住院管理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现场考核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随机抽取年度内市直医保住院病历用于核查：①诊疗时间或周期欠合理、把握出、入院标准欠合理，每例扣20分；②检查、化验项目不符合病情诊断的需要，药物的应用（包括选择品种、剂量、疗程等）不符合医疗规范，限制用药标识的选择与实际情况不相符，每例扣10分；③治疗项目与诊断的疾病不相关，或治疗项目的应用不符合医疗规范，每例扣10分；④病案首页、出院小结等填写是否完整及如实上传。诊疗项目等信息在住院病历、医保信息系统（结算清单）、医院HIS系统核对是否一致，存在问题的，每份病历扣20分；⑤出院带药超量（超过7天量）或将出院医嘱中的医疗服务项目及医用耗材费用纳入统筹记账的，每例扣20分；⑥自费项目未征得参保人或家属签字同意的，每查实一例扣 20分；⑦自费项目已签字但未列出具体项目的，每查实一例扣15分；⑧符合政策规定应“合并结算”的病例，无特殊原因未在市直医保系统办理“合并结算”的，每查实一例扣20分；⑨按照在院参保人员人数1%-5%的比例，随机抽查在院参保人员，发现参保人员不在院的，每查实一例扣20分；⑩挂床住院、虚假住院、或者其他以欺诈、伪造证明材料等违规手段骗取市直医保经费支出的，每查实一例扣200分；⑾抽查2份离休干部病历，因病情需要使用的不属于三个目录内的合规医疗费用，无副主任以上医师开具医嘱并在病历资料中明确使用指征的，每查实一例扣10分。</w:t>
            </w:r>
          </w:p>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本项最高扣300分。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64"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1</w:t>
            </w:r>
            <w:r>
              <w:rPr>
                <w:rFonts w:hint="default" w:ascii="Times New Roman" w:hAnsi="Times New Roman" w:cs="Times New Roman"/>
                <w:i w:val="0"/>
                <w:iCs w:val="0"/>
                <w:color w:val="auto"/>
                <w:kern w:val="0"/>
                <w:sz w:val="22"/>
                <w:szCs w:val="22"/>
                <w:highlight w:val="none"/>
                <w:u w:val="none"/>
                <w:lang w:val="en-US" w:eastAsia="zh-CN" w:bidi="ar"/>
              </w:rPr>
              <w:t>5</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审核扣减率</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Style w:val="12"/>
                <w:rFonts w:hint="default" w:ascii="Times New Roman" w:hAnsi="Times New Roman" w:eastAsia="方正仿宋_GBK" w:cs="Times New Roman"/>
                <w:color w:val="auto"/>
                <w:sz w:val="22"/>
                <w:szCs w:val="22"/>
                <w:highlight w:val="none"/>
                <w:lang w:val="en-US" w:eastAsia="zh-CN" w:bidi="ar"/>
              </w:rPr>
              <w:t>采用智能审核扣减率=智能审核扣减金额/该院总金额进行计算，并将结果进行全市市直医保定点医疗机构从低到高排名，排名比值小于10%的不扣分，排名比值在15%及以内的扣5分，每增加5%的加扣5分，最高扣120分。智能审核扣减金额低于50元的医疗机构不纳入统计范围</w:t>
            </w:r>
            <w:r>
              <w:rPr>
                <w:rFonts w:hint="default" w:ascii="Times New Roman" w:hAnsi="Times New Roman" w:eastAsia="方正仿宋_GBK" w:cs="Times New Roman"/>
                <w:i w:val="0"/>
                <w:color w:val="auto"/>
                <w:kern w:val="0"/>
                <w:sz w:val="22"/>
                <w:szCs w:val="22"/>
                <w:highlight w:val="none"/>
                <w:u w:val="none"/>
                <w:lang w:val="en-US" w:eastAsia="zh-CN" w:bidi="ar"/>
              </w:rPr>
              <w:t>。</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62"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1</w:t>
            </w:r>
            <w:r>
              <w:rPr>
                <w:rFonts w:hint="default" w:ascii="Times New Roman" w:hAnsi="Times New Roman" w:cs="Times New Roman"/>
                <w:i w:val="0"/>
                <w:iCs w:val="0"/>
                <w:color w:val="auto"/>
                <w:kern w:val="0"/>
                <w:sz w:val="22"/>
                <w:szCs w:val="22"/>
                <w:highlight w:val="none"/>
                <w:u w:val="none"/>
                <w:lang w:val="en-US" w:eastAsia="zh-CN" w:bidi="ar"/>
              </w:rPr>
              <w:t>6</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就医管理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①拒绝按政策规定为市直医保参保人员提供正常就医服务的，每例扣100分；②自行设置限额、降低市直医保参保人员医疗待遇保障标准，每例扣50分；</w:t>
            </w:r>
          </w:p>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③在定点医疗机构可提供或目录范围内有可替代的药品、材料及其他医疗卫生物品，却以各种方式引导市直医保参保人员外购在定点医疗机构使用，每例扣50分；④因未切实履行职责，致他人冒用市直医保参保人员资料办理门诊、门诊特定病种、住院记账的，每查实一例扣50分；⑤配合冒名记账就医的，每查实一例扣200分。</w:t>
            </w:r>
            <w:r>
              <w:rPr>
                <w:rFonts w:hint="default" w:ascii="Times New Roman" w:hAnsi="Times New Roman" w:eastAsia="方正仿宋_GBK" w:cs="Times New Roman"/>
                <w:i w:val="0"/>
                <w:iCs w:val="0"/>
                <w:color w:val="auto"/>
                <w:kern w:val="0"/>
                <w:sz w:val="22"/>
                <w:szCs w:val="22"/>
                <w:highlight w:val="none"/>
                <w:u w:val="none"/>
                <w:lang w:val="en-US" w:eastAsia="zh-CN" w:bidi="ar"/>
              </w:rPr>
              <w:t>⑥</w:t>
            </w:r>
            <w:r>
              <w:rPr>
                <w:rFonts w:hint="default" w:ascii="Times New Roman" w:hAnsi="Times New Roman" w:eastAsia="方正仿宋_GBK" w:cs="Times New Roman"/>
                <w:i w:val="0"/>
                <w:color w:val="auto"/>
                <w:kern w:val="0"/>
                <w:sz w:val="22"/>
                <w:szCs w:val="22"/>
                <w:highlight w:val="none"/>
                <w:u w:val="none"/>
                <w:lang w:val="en-US" w:eastAsia="zh-CN" w:bidi="ar"/>
              </w:rPr>
              <w:t>因医院信息系统（HIS）系统与市直医保信息系统对接问题，导致医院信息系统参保人信息错误的，每发现1例扣20分；</w:t>
            </w:r>
            <w:r>
              <w:rPr>
                <w:rFonts w:hint="default" w:ascii="Times New Roman" w:hAnsi="Times New Roman" w:eastAsia="方正仿宋_GBK" w:cs="Times New Roman"/>
                <w:i w:val="0"/>
                <w:iCs w:val="0"/>
                <w:color w:val="auto"/>
                <w:kern w:val="0"/>
                <w:sz w:val="22"/>
                <w:szCs w:val="22"/>
                <w:highlight w:val="none"/>
                <w:u w:val="none"/>
                <w:lang w:val="en-US" w:eastAsia="zh-CN" w:bidi="ar"/>
              </w:rPr>
              <w:t>⑦</w:t>
            </w:r>
            <w:r>
              <w:rPr>
                <w:rFonts w:hint="default" w:ascii="Times New Roman" w:hAnsi="Times New Roman" w:eastAsia="方正仿宋_GBK" w:cs="Times New Roman"/>
                <w:i w:val="0"/>
                <w:color w:val="auto"/>
                <w:kern w:val="0"/>
                <w:sz w:val="22"/>
                <w:szCs w:val="22"/>
                <w:highlight w:val="none"/>
                <w:u w:val="none"/>
                <w:lang w:val="en-US" w:eastAsia="zh-CN" w:bidi="ar"/>
              </w:rPr>
              <w:t>未指引参保人使用医保电子凭证扫码就医，导致参保人无法正常就医的，每发现1例扣20分；⑧未按要求做好临时就医功能开通管理，每例扣100分，临时就医台账记录不完整的，每例扣10分；⑨未签订《广州市医疗保障定点医疗机构医疗服务项目结算补充协议（非公立）》的非公立医疗机构，未按《广州市医疗保障定点医疗机构医疗服务范围、项目及结算方式补充协议》第九条“非公立医院结算”的条款做好费用明细上传、费用结算、参保人知情同意等，每发现一例扣20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6"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1</w:t>
            </w:r>
            <w:r>
              <w:rPr>
                <w:rFonts w:hint="default" w:ascii="Times New Roman" w:hAnsi="Times New Roman" w:cs="Times New Roman"/>
                <w:i w:val="0"/>
                <w:iCs w:val="0"/>
                <w:color w:val="auto"/>
                <w:kern w:val="0"/>
                <w:sz w:val="22"/>
                <w:szCs w:val="22"/>
                <w:highlight w:val="none"/>
                <w:u w:val="none"/>
                <w:lang w:val="en-US" w:eastAsia="zh-CN" w:bidi="ar"/>
              </w:rPr>
              <w:t>7</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服务数量</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评定期年度内，年内门诊服务数量不达120人次，扣100分；年内收治住院数量未达到12人次，扣100分。（按市直医保参保人员就医结算人次计）</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74"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cs="Times New Roman"/>
                <w:i w:val="0"/>
                <w:iCs w:val="0"/>
                <w:color w:val="auto"/>
                <w:kern w:val="0"/>
                <w:sz w:val="22"/>
                <w:szCs w:val="22"/>
                <w:highlight w:val="none"/>
                <w:u w:val="none"/>
                <w:lang w:val="en-US" w:eastAsia="zh-CN" w:bidi="ar"/>
              </w:rPr>
              <w:t>18</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参保人满意度</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市直医保参保人满意度调查结果低于辖区平均分的，每低5分扣10分（5&lt;差值≤10扣10分，10&lt;差值≤15扣20分，以此类推），最高扣100分。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70"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2"/>
                <w:sz w:val="22"/>
                <w:szCs w:val="22"/>
                <w:highlight w:val="none"/>
                <w:u w:val="none"/>
                <w:lang w:val="en-US" w:eastAsia="zh-CN" w:bidi="ar-SA"/>
              </w:rPr>
            </w:pPr>
            <w:r>
              <w:rPr>
                <w:rFonts w:hint="default" w:ascii="Times New Roman" w:hAnsi="Times New Roman" w:cs="Times New Roman"/>
                <w:i w:val="0"/>
                <w:iCs w:val="0"/>
                <w:color w:val="auto"/>
                <w:kern w:val="0"/>
                <w:sz w:val="22"/>
                <w:szCs w:val="22"/>
                <w:highlight w:val="none"/>
                <w:u w:val="none"/>
                <w:lang w:val="en-US" w:eastAsia="zh-CN" w:bidi="ar"/>
              </w:rPr>
              <w:t>19</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配合医保工作</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不按政策及协议的要求积极配合医疗保险管理部门进行日常监督检查工作的，每次扣20分；②不能按要求及时提供需要查阅的一般医疗档案和有关资料的每次扣10分，整份病历不能按要求提供扣20分；③报送结算报表、节假日值班表或其他要求反馈的结果不及时的，每次扣10分；④</w:t>
            </w:r>
            <w:r>
              <w:rPr>
                <w:rFonts w:hint="default" w:ascii="Times New Roman" w:hAnsi="Times New Roman" w:eastAsia="方正仿宋_GBK" w:cs="Times New Roman"/>
                <w:i w:val="0"/>
                <w:iCs w:val="0"/>
                <w:color w:val="auto"/>
                <w:kern w:val="0"/>
                <w:sz w:val="22"/>
                <w:szCs w:val="22"/>
                <w:highlight w:val="none"/>
                <w:u w:val="none"/>
                <w:lang w:val="en-US" w:eastAsia="zh-CN" w:bidi="ar"/>
              </w:rPr>
              <w:t>不配合修改错误目录信息或进行目录匹配，每次扣10分</w:t>
            </w:r>
            <w:r>
              <w:rPr>
                <w:rFonts w:hint="default" w:ascii="Times New Roman" w:hAnsi="Times New Roman" w:eastAsia="方正仿宋_GBK" w:cs="Times New Roman"/>
                <w:i w:val="0"/>
                <w:color w:val="auto"/>
                <w:kern w:val="0"/>
                <w:sz w:val="22"/>
                <w:szCs w:val="22"/>
                <w:highlight w:val="none"/>
                <w:u w:val="none"/>
                <w:lang w:val="en-US" w:eastAsia="zh-CN" w:bidi="ar"/>
              </w:rPr>
              <w:t>；⑤不积极组织落实医保医师制度的，扣20分；⑥参加医保部门组织的市直医保有关培训出勤情况，每缺勤一次扣20分；⑦因医院（内部培训、系统故障、指引不当等）未做好内部培训而导致操作错误影响市直医保参保人待遇的，每例扣10分；⑧未按要求制订市直医保费用补记账操作及指引工作流程的，扣30分；⑨未按相关指引及工作流程操作，造成市直医保参保人相关费用未能记账或补记账结算需零星报销的，每例扣10分，最高50分；⑩未履行服务协议书要求，发生市直医保参保人有效投诉的，每例扣20分；⑾定点医疗机构HIS系统目录信息与医保信息系统目录信息不一致，并申报费用的，每例扣10分；⑿未按要求开展延续护理评估服务，每发生一例有效投诉，扣10分；⒀未将申报数据与HIS系统进行核对，导致数据重复上传，影响费用审核工作的，每例扣5分；⒁未按要求给市直医保住院病人办理备案手续，导致自费结算的，每发生一例有效投诉，扣10分；⒂未按要求使用属于三个目录的医用材料办理备案手续，导致自费结算的，每发生一例有效投诉，扣10分；⒃未按要求及时配合或协助稳妥处理12345工单或信访，或未妥善处理化解市直医保参保人投诉导致发生12345工单或信访等有效投诉，每一单扣10分；</w:t>
            </w:r>
            <w:r>
              <w:rPr>
                <w:rFonts w:hint="default" w:ascii="Times New Roman" w:hAnsi="Times New Roman" w:eastAsia="宋体" w:cs="Times New Roman"/>
                <w:color w:val="auto"/>
                <w:kern w:val="0"/>
                <w:sz w:val="22"/>
                <w:szCs w:val="22"/>
                <w:highlight w:val="none"/>
                <w:lang w:bidi="ar"/>
              </w:rPr>
              <w:t>⒄</w:t>
            </w:r>
            <w:r>
              <w:rPr>
                <w:rFonts w:hint="default" w:ascii="Times New Roman" w:hAnsi="Times New Roman" w:eastAsia="方正仿宋_GBK" w:cs="Times New Roman"/>
                <w:color w:val="auto"/>
                <w:kern w:val="0"/>
                <w:sz w:val="22"/>
                <w:szCs w:val="22"/>
                <w:highlight w:val="none"/>
                <w:lang w:bidi="ar"/>
              </w:rPr>
              <w:t>未</w:t>
            </w:r>
            <w:r>
              <w:rPr>
                <w:rFonts w:hint="default" w:ascii="Times New Roman" w:hAnsi="Times New Roman" w:eastAsia="方正仿宋_GBK" w:cs="Times New Roman"/>
                <w:color w:val="auto"/>
                <w:kern w:val="0"/>
                <w:sz w:val="22"/>
                <w:szCs w:val="22"/>
                <w:highlight w:val="none"/>
                <w:lang w:eastAsia="zh-CN" w:bidi="ar"/>
              </w:rPr>
              <w:t>落实市直医保政策、</w:t>
            </w:r>
            <w:r>
              <w:rPr>
                <w:rFonts w:hint="default" w:ascii="Times New Roman" w:hAnsi="Times New Roman" w:eastAsia="方正仿宋_GBK" w:cs="Times New Roman"/>
                <w:color w:val="auto"/>
                <w:kern w:val="0"/>
                <w:sz w:val="22"/>
                <w:szCs w:val="22"/>
                <w:highlight w:val="none"/>
                <w:lang w:bidi="ar"/>
              </w:rPr>
              <w:t>履行服务协议，导致发生12345工单、信访</w:t>
            </w:r>
            <w:r>
              <w:rPr>
                <w:rFonts w:hint="default" w:ascii="Times New Roman" w:hAnsi="Times New Roman" w:eastAsia="方正仿宋_GBK" w:cs="Times New Roman"/>
                <w:color w:val="auto"/>
                <w:kern w:val="0"/>
                <w:sz w:val="22"/>
                <w:szCs w:val="22"/>
                <w:highlight w:val="none"/>
                <w:lang w:eastAsia="zh-CN" w:bidi="ar"/>
              </w:rPr>
              <w:t>或引发舆情</w:t>
            </w:r>
            <w:r>
              <w:rPr>
                <w:rFonts w:hint="default" w:ascii="Times New Roman" w:hAnsi="Times New Roman" w:eastAsia="方正仿宋_GBK" w:cs="Times New Roman"/>
                <w:color w:val="auto"/>
                <w:kern w:val="0"/>
                <w:sz w:val="22"/>
                <w:szCs w:val="22"/>
                <w:highlight w:val="none"/>
                <w:lang w:bidi="ar"/>
              </w:rPr>
              <w:t>，每一单扣30分</w:t>
            </w:r>
            <w:r>
              <w:rPr>
                <w:rFonts w:hint="default" w:ascii="Times New Roman" w:hAnsi="Times New Roman" w:eastAsia="方正仿宋_GBK" w:cs="Times New Roman"/>
                <w:color w:val="auto"/>
                <w:kern w:val="0"/>
                <w:sz w:val="22"/>
                <w:szCs w:val="22"/>
                <w:highlight w:val="none"/>
                <w:lang w:eastAsia="zh-CN" w:bidi="ar"/>
              </w:rPr>
              <w:t>；</w:t>
            </w:r>
            <w:r>
              <w:rPr>
                <w:rFonts w:hint="eastAsia" w:ascii="方正仿宋_GBK" w:hAnsi="方正仿宋_GBK" w:eastAsia="方正仿宋_GBK" w:cs="方正仿宋_GBK"/>
                <w:color w:val="auto"/>
                <w:kern w:val="0"/>
                <w:sz w:val="22"/>
                <w:szCs w:val="22"/>
                <w:highlight w:val="none"/>
                <w:lang w:eastAsia="zh-CN" w:bidi="ar"/>
              </w:rPr>
              <w:t>⒅</w:t>
            </w:r>
            <w:r>
              <w:rPr>
                <w:rFonts w:hint="default" w:ascii="Times New Roman" w:hAnsi="Times New Roman" w:eastAsia="方正仿宋_GBK" w:cs="Times New Roman"/>
                <w:i w:val="0"/>
                <w:color w:val="auto"/>
                <w:kern w:val="0"/>
                <w:sz w:val="22"/>
                <w:szCs w:val="22"/>
                <w:highlight w:val="none"/>
                <w:u w:val="none"/>
                <w:lang w:val="en-US" w:eastAsia="zh-CN" w:bidi="ar"/>
              </w:rPr>
              <w:t>未按规定对外伤（含工伤）患者进行就医服务指引，导致符合支付条件的市直医保参保人未能记账费用，造成不良后果的，每例扣20分。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iCs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本项最高扣150分。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78" w:hRule="atLeast"/>
          <w:jc w:val="center"/>
        </w:trPr>
        <w:tc>
          <w:tcPr>
            <w:tcW w:w="409"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r>
              <w:rPr>
                <w:rFonts w:hint="default" w:ascii="Times New Roman" w:hAnsi="Times New Roman" w:eastAsia="方正仿宋_GBK" w:cs="Times New Roman"/>
                <w:b/>
                <w:bCs/>
                <w:i w:val="0"/>
                <w:iCs w:val="0"/>
                <w:color w:val="auto"/>
                <w:kern w:val="0"/>
                <w:sz w:val="22"/>
                <w:szCs w:val="22"/>
                <w:highlight w:val="none"/>
                <w:u w:val="none"/>
                <w:lang w:val="en-US" w:eastAsia="zh-CN" w:bidi="ar"/>
              </w:rPr>
              <w:t>信息化建设情况</w:t>
            </w: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2</w:t>
            </w:r>
            <w:r>
              <w:rPr>
                <w:rFonts w:hint="default" w:ascii="Times New Roman" w:hAnsi="Times New Roman" w:cs="Times New Roman"/>
                <w:i w:val="0"/>
                <w:iCs w:val="0"/>
                <w:color w:val="auto"/>
                <w:kern w:val="0"/>
                <w:sz w:val="22"/>
                <w:szCs w:val="22"/>
                <w:highlight w:val="none"/>
                <w:u w:val="none"/>
                <w:lang w:val="en-US" w:eastAsia="zh-CN" w:bidi="ar"/>
              </w:rPr>
              <w:t>0</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信息系统建设</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 xml:space="preserve">不配合开展医保信息系统建设或改造工作，推进本单位HIS系统改造，实现与医保信息系统数据交换无缝对接的，每次扣20分，最高扣60分。                                                                                                                                                                                                                                                                                                                                                                                                                                                                                                                                                                                                                                                                                                                                                                                                                                                                                                                                                                                                                                                                                                                                                                                                                                                                                                                                                                                                                                                                                                                                                                                                                                                                                                                                                                                                                                                                                                                                                                                                                                                                                                                                                                                                                                                                                                                                                                                                           </w:t>
            </w:r>
          </w:p>
        </w:tc>
        <w:tc>
          <w:tcPr>
            <w:tcW w:w="397"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宋体" w:cs="Times New Roman"/>
                <w:i w:val="0"/>
                <w:iCs w:val="0"/>
                <w:color w:val="auto"/>
                <w:kern w:val="0"/>
                <w:sz w:val="22"/>
                <w:szCs w:val="22"/>
                <w:highlight w:val="none"/>
                <w:u w:val="none"/>
                <w:lang w:val="en-US" w:eastAsia="zh-CN" w:bidi="ar"/>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58"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lang w:val="en-US"/>
              </w:rPr>
            </w:pPr>
            <w:r>
              <w:rPr>
                <w:rFonts w:hint="default" w:ascii="Times New Roman" w:hAnsi="Times New Roman" w:eastAsia="宋体" w:cs="Times New Roman"/>
                <w:i w:val="0"/>
                <w:iCs w:val="0"/>
                <w:color w:val="auto"/>
                <w:kern w:val="0"/>
                <w:sz w:val="22"/>
                <w:szCs w:val="22"/>
                <w:highlight w:val="none"/>
                <w:u w:val="none"/>
                <w:lang w:val="en-US" w:eastAsia="zh-CN" w:bidi="ar"/>
              </w:rPr>
              <w:t>2</w:t>
            </w:r>
            <w:r>
              <w:rPr>
                <w:rFonts w:hint="default" w:ascii="Times New Roman" w:hAnsi="Times New Roman" w:cs="Times New Roman"/>
                <w:i w:val="0"/>
                <w:iCs w:val="0"/>
                <w:color w:val="auto"/>
                <w:kern w:val="0"/>
                <w:sz w:val="22"/>
                <w:szCs w:val="22"/>
                <w:highlight w:val="none"/>
                <w:u w:val="none"/>
                <w:lang w:val="en-US" w:eastAsia="zh-CN" w:bidi="ar"/>
              </w:rPr>
              <w:t>1</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信息系统安全</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加强做好院内信息安全管理工作，如被市级网络安全管理部门通报的，每次扣30分；或医院年度内被发现存在高危医保专网安全威胁的，每次扣15分，最高扣30分。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2"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lang w:val="en-US"/>
              </w:rPr>
            </w:pPr>
            <w:r>
              <w:rPr>
                <w:rFonts w:hint="default" w:ascii="Times New Roman" w:hAnsi="Times New Roman" w:eastAsia="宋体" w:cs="Times New Roman"/>
                <w:i w:val="0"/>
                <w:iCs w:val="0"/>
                <w:color w:val="auto"/>
                <w:kern w:val="0"/>
                <w:sz w:val="22"/>
                <w:szCs w:val="22"/>
                <w:highlight w:val="none"/>
                <w:u w:val="none"/>
                <w:lang w:val="en-US" w:eastAsia="zh-CN" w:bidi="ar"/>
              </w:rPr>
              <w:t>2</w:t>
            </w:r>
            <w:r>
              <w:rPr>
                <w:rFonts w:hint="default" w:ascii="Times New Roman" w:hAnsi="Times New Roman" w:cs="Times New Roman"/>
                <w:i w:val="0"/>
                <w:iCs w:val="0"/>
                <w:color w:val="auto"/>
                <w:kern w:val="0"/>
                <w:sz w:val="22"/>
                <w:szCs w:val="22"/>
                <w:highlight w:val="none"/>
                <w:u w:val="none"/>
                <w:lang w:val="en-US" w:eastAsia="zh-CN" w:bidi="ar"/>
              </w:rPr>
              <w:t>2</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信息系统管理</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不配合做好市直医保信息系统日常升级，或不及时处理院内各类系统故障而影响市直医保系统正常使用的，每次扣30分，最高扣60分。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10"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2"/>
                <w:sz w:val="22"/>
                <w:szCs w:val="22"/>
                <w:highlight w:val="none"/>
                <w:u w:val="none"/>
                <w:lang w:val="en-US" w:eastAsia="zh-CN" w:bidi="ar-SA"/>
              </w:rPr>
            </w:pPr>
            <w:r>
              <w:rPr>
                <w:rFonts w:hint="default" w:ascii="Times New Roman" w:hAnsi="Times New Roman" w:eastAsia="宋体" w:cs="Times New Roman"/>
                <w:i w:val="0"/>
                <w:iCs w:val="0"/>
                <w:color w:val="auto"/>
                <w:kern w:val="0"/>
                <w:sz w:val="22"/>
                <w:szCs w:val="22"/>
                <w:highlight w:val="none"/>
                <w:u w:val="none"/>
                <w:lang w:val="en-US" w:eastAsia="zh-CN" w:bidi="ar"/>
              </w:rPr>
              <w:t>2</w:t>
            </w:r>
            <w:r>
              <w:rPr>
                <w:rFonts w:hint="default" w:ascii="Times New Roman" w:hAnsi="Times New Roman" w:cs="Times New Roman"/>
                <w:i w:val="0"/>
                <w:iCs w:val="0"/>
                <w:color w:val="auto"/>
                <w:kern w:val="0"/>
                <w:sz w:val="22"/>
                <w:szCs w:val="22"/>
                <w:highlight w:val="none"/>
                <w:u w:val="none"/>
                <w:lang w:val="en-US" w:eastAsia="zh-CN" w:bidi="ar"/>
              </w:rPr>
              <w:t>3</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医保电子凭证</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按要求推进医保电子凭证推广应用工作，如未做好医保电子凭证全流程用码规范传参改造工作的，扣20分；如在市直医保信息平台未使用医保电子凭证办理医保业务结算的，扣20分。本项最高扣20分。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76" w:hRule="atLeast"/>
          <w:jc w:val="center"/>
        </w:trPr>
        <w:tc>
          <w:tcPr>
            <w:tcW w:w="409"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r>
              <w:rPr>
                <w:rFonts w:hint="default" w:ascii="Times New Roman" w:hAnsi="Times New Roman" w:eastAsia="方正仿宋_GBK" w:cs="Times New Roman"/>
                <w:b/>
                <w:bCs/>
                <w:i w:val="0"/>
                <w:iCs w:val="0"/>
                <w:color w:val="auto"/>
                <w:kern w:val="0"/>
                <w:sz w:val="22"/>
                <w:szCs w:val="22"/>
                <w:highlight w:val="none"/>
                <w:u w:val="none"/>
                <w:lang w:val="en-US" w:eastAsia="zh-CN" w:bidi="ar"/>
              </w:rPr>
              <w:t>药品耗材采购</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r>
              <w:rPr>
                <w:rFonts w:hint="default" w:ascii="Times New Roman" w:hAnsi="Times New Roman" w:eastAsia="方正仿宋_GBK" w:cs="Times New Roman"/>
                <w:b/>
                <w:bCs/>
                <w:i w:val="0"/>
                <w:iCs w:val="0"/>
                <w:color w:val="auto"/>
                <w:kern w:val="0"/>
                <w:sz w:val="22"/>
                <w:szCs w:val="22"/>
                <w:highlight w:val="none"/>
                <w:u w:val="none"/>
                <w:lang w:val="en-US" w:eastAsia="zh-CN" w:bidi="ar"/>
              </w:rPr>
              <w:t>情况</w:t>
            </w:r>
          </w:p>
        </w:tc>
        <w:tc>
          <w:tcPr>
            <w:tcW w:w="311" w:type="pct"/>
            <w:tcBorders>
              <w:bottom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lang w:val="en-US"/>
              </w:rPr>
            </w:pPr>
            <w:r>
              <w:rPr>
                <w:rFonts w:hint="default" w:ascii="Times New Roman" w:hAnsi="Times New Roman" w:eastAsia="宋体" w:cs="Times New Roman"/>
                <w:i w:val="0"/>
                <w:iCs w:val="0"/>
                <w:color w:val="auto"/>
                <w:kern w:val="0"/>
                <w:sz w:val="22"/>
                <w:szCs w:val="22"/>
                <w:highlight w:val="none"/>
                <w:u w:val="none"/>
                <w:lang w:val="en-US" w:eastAsia="zh-CN" w:bidi="ar"/>
              </w:rPr>
              <w:t>2</w:t>
            </w:r>
            <w:r>
              <w:rPr>
                <w:rFonts w:hint="default" w:ascii="Times New Roman" w:hAnsi="Times New Roman" w:cs="Times New Roman"/>
                <w:i w:val="0"/>
                <w:iCs w:val="0"/>
                <w:color w:val="auto"/>
                <w:kern w:val="0"/>
                <w:sz w:val="22"/>
                <w:szCs w:val="22"/>
                <w:highlight w:val="none"/>
                <w:u w:val="none"/>
                <w:lang w:val="en-US" w:eastAsia="zh-CN" w:bidi="ar"/>
              </w:rPr>
              <w:t>4</w:t>
            </w:r>
          </w:p>
        </w:tc>
        <w:tc>
          <w:tcPr>
            <w:tcW w:w="410" w:type="pct"/>
            <w:tcBorders>
              <w:bottom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药品耗材采购执行情况</w:t>
            </w:r>
          </w:p>
        </w:tc>
        <w:tc>
          <w:tcPr>
            <w:tcW w:w="349" w:type="pct"/>
            <w:tcBorders>
              <w:bottom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bottom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bottom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sz w:val="22"/>
                <w:szCs w:val="22"/>
                <w:highlight w:val="none"/>
                <w:u w:val="none"/>
                <w:lang w:eastAsia="zh-CN"/>
              </w:rPr>
            </w:pPr>
            <w:r>
              <w:rPr>
                <w:rFonts w:hint="default" w:ascii="Times New Roman" w:hAnsi="Times New Roman" w:eastAsia="方正仿宋_GBK" w:cs="Times New Roman"/>
                <w:i w:val="0"/>
                <w:color w:val="auto"/>
                <w:sz w:val="22"/>
                <w:szCs w:val="22"/>
                <w:highlight w:val="none"/>
                <w:u w:val="none"/>
              </w:rPr>
              <w:t>①药品报量任务完成率：已完成约定采购量的品种数占报量品种总数的比例。针对采购周期结束于考核年度内的各批次国家集采、省集采、市集采报量任务，将任务完成率未达100%的各医疗机构按报量任务完成率从高到低排序，将排位后50%的指标值视实际情况分为不超过5档，从第1档开始扣分，每降一档扣4分。</w:t>
            </w:r>
            <w:r>
              <w:rPr>
                <w:rFonts w:hint="default" w:ascii="Times New Roman" w:hAnsi="Times New Roman" w:eastAsia="方正仿宋_GBK" w:cs="Times New Roman"/>
                <w:i w:val="0"/>
                <w:color w:val="auto"/>
                <w:sz w:val="22"/>
                <w:szCs w:val="22"/>
                <w:highlight w:val="none"/>
                <w:u w:val="none"/>
                <w:lang w:eastAsia="zh-CN"/>
              </w:rPr>
              <w:t>最高</w:t>
            </w:r>
            <w:r>
              <w:rPr>
                <w:rFonts w:hint="default" w:ascii="Times New Roman" w:hAnsi="Times New Roman" w:eastAsia="方正仿宋_GBK" w:cs="Times New Roman"/>
                <w:i w:val="0"/>
                <w:color w:val="auto"/>
                <w:sz w:val="22"/>
                <w:szCs w:val="22"/>
                <w:highlight w:val="none"/>
                <w:u w:val="none"/>
              </w:rPr>
              <w:t>扣20分</w:t>
            </w:r>
            <w:r>
              <w:rPr>
                <w:rFonts w:hint="default" w:ascii="Times New Roman" w:hAnsi="Times New Roman" w:eastAsia="方正仿宋_GBK" w:cs="Times New Roman"/>
                <w:i w:val="0"/>
                <w:color w:val="auto"/>
                <w:sz w:val="22"/>
                <w:szCs w:val="22"/>
                <w:highlight w:val="none"/>
                <w:u w:val="none"/>
                <w:lang w:eastAsia="zh-CN"/>
              </w:rPr>
              <w:t>；</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sz w:val="22"/>
                <w:szCs w:val="22"/>
                <w:highlight w:val="none"/>
                <w:u w:val="none"/>
                <w:lang w:eastAsia="zh-CN"/>
              </w:rPr>
            </w:pPr>
            <w:r>
              <w:rPr>
                <w:rFonts w:hint="default" w:ascii="Times New Roman" w:hAnsi="Times New Roman" w:eastAsia="方正仿宋_GBK" w:cs="Times New Roman"/>
                <w:i w:val="0"/>
                <w:color w:val="auto"/>
                <w:sz w:val="22"/>
                <w:szCs w:val="22"/>
                <w:highlight w:val="none"/>
                <w:u w:val="none"/>
              </w:rPr>
              <w:t>②医用耗材报量任务完成率：已完成约定采购量的品种数占报量品种总数的比例。针对采购周期结束于考核年度内的各批次国家集采、省集采、市集采报量任务，将任务完成率未达100%的各医疗机构按报量任务完成率从高到低排序，将排位后50%的指标值视实际情况分为不超过5档，从第1档开始扣分，每降一档扣4分。</w:t>
            </w:r>
            <w:r>
              <w:rPr>
                <w:rFonts w:hint="default" w:ascii="Times New Roman" w:hAnsi="Times New Roman" w:eastAsia="方正仿宋_GBK" w:cs="Times New Roman"/>
                <w:i w:val="0"/>
                <w:color w:val="auto"/>
                <w:sz w:val="22"/>
                <w:szCs w:val="22"/>
                <w:highlight w:val="none"/>
                <w:u w:val="none"/>
                <w:lang w:eastAsia="zh-CN"/>
              </w:rPr>
              <w:t>最高</w:t>
            </w:r>
            <w:r>
              <w:rPr>
                <w:rFonts w:hint="default" w:ascii="Times New Roman" w:hAnsi="Times New Roman" w:eastAsia="方正仿宋_GBK" w:cs="Times New Roman"/>
                <w:i w:val="0"/>
                <w:color w:val="auto"/>
                <w:sz w:val="22"/>
                <w:szCs w:val="22"/>
                <w:highlight w:val="none"/>
                <w:u w:val="none"/>
              </w:rPr>
              <w:t>扣20分</w:t>
            </w:r>
            <w:r>
              <w:rPr>
                <w:rFonts w:hint="default" w:ascii="Times New Roman" w:hAnsi="Times New Roman" w:eastAsia="方正仿宋_GBK" w:cs="Times New Roman"/>
                <w:i w:val="0"/>
                <w:color w:val="auto"/>
                <w:sz w:val="22"/>
                <w:szCs w:val="22"/>
                <w:highlight w:val="none"/>
                <w:u w:val="none"/>
                <w:lang w:eastAsia="zh-CN"/>
              </w:rPr>
              <w:t>；</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sz w:val="22"/>
                <w:szCs w:val="22"/>
                <w:highlight w:val="none"/>
                <w:u w:val="none"/>
                <w:lang w:eastAsia="zh-CN"/>
              </w:rPr>
            </w:pPr>
            <w:r>
              <w:rPr>
                <w:rFonts w:hint="default" w:ascii="Times New Roman" w:hAnsi="Times New Roman" w:eastAsia="方正仿宋_GBK" w:cs="Times New Roman"/>
                <w:i w:val="0"/>
                <w:color w:val="auto"/>
                <w:sz w:val="22"/>
                <w:szCs w:val="22"/>
                <w:highlight w:val="none"/>
                <w:u w:val="none"/>
              </w:rPr>
              <w:t>③药品采购按期回款率：考核年度内的各批次国家集采、省集采、市集采，按期回款金额占应付金额的比例。按期回款金额是指本月收货验收的订单在次月底前完成支付的订单金额；应付金额是指已收货验收订单的总金额。将各医疗机构的药品采购按期回款率从高到低排序，视实际情况分为不超过6档，从第2档开始扣分，每降一档扣4分。</w:t>
            </w:r>
            <w:r>
              <w:rPr>
                <w:rFonts w:hint="default" w:ascii="Times New Roman" w:hAnsi="Times New Roman" w:eastAsia="方正仿宋_GBK" w:cs="Times New Roman"/>
                <w:i w:val="0"/>
                <w:color w:val="auto"/>
                <w:sz w:val="22"/>
                <w:szCs w:val="22"/>
                <w:highlight w:val="none"/>
                <w:u w:val="none"/>
                <w:lang w:eastAsia="zh-CN"/>
              </w:rPr>
              <w:t>最高</w:t>
            </w:r>
            <w:r>
              <w:rPr>
                <w:rFonts w:hint="default" w:ascii="Times New Roman" w:hAnsi="Times New Roman" w:eastAsia="方正仿宋_GBK" w:cs="Times New Roman"/>
                <w:i w:val="0"/>
                <w:color w:val="auto"/>
                <w:sz w:val="22"/>
                <w:szCs w:val="22"/>
                <w:highlight w:val="none"/>
                <w:u w:val="none"/>
              </w:rPr>
              <w:t>扣20分</w:t>
            </w:r>
            <w:r>
              <w:rPr>
                <w:rFonts w:hint="default" w:ascii="Times New Roman" w:hAnsi="Times New Roman" w:eastAsia="方正仿宋_GBK" w:cs="Times New Roman"/>
                <w:i w:val="0"/>
                <w:color w:val="auto"/>
                <w:sz w:val="22"/>
                <w:szCs w:val="22"/>
                <w:highlight w:val="none"/>
                <w:u w:val="none"/>
                <w:lang w:eastAsia="zh-CN"/>
              </w:rPr>
              <w:t>；</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sz w:val="22"/>
                <w:szCs w:val="22"/>
                <w:highlight w:val="none"/>
                <w:u w:val="none"/>
                <w:lang w:eastAsia="zh-CN"/>
              </w:rPr>
            </w:pPr>
            <w:r>
              <w:rPr>
                <w:rFonts w:hint="default" w:ascii="Times New Roman" w:hAnsi="Times New Roman" w:eastAsia="方正仿宋_GBK" w:cs="Times New Roman"/>
                <w:i w:val="0"/>
                <w:color w:val="auto"/>
                <w:sz w:val="22"/>
                <w:szCs w:val="22"/>
                <w:highlight w:val="none"/>
                <w:u w:val="none"/>
              </w:rPr>
              <w:t>④医用耗材采购按期回款率：考核年度内的各批次国家集采、省集采、市集采，按期回款金额占应付金额的比例。按期回款金额是指本月收货验收的订单在次月底前完成支付的订单金额；应付金额是指已收货验收订单的总金额。将各医疗机构的医用耗材采购按期回款率从高到低排序，视实际情况分为不超过6档，从第2档开始扣分，每降一档扣4分。</w:t>
            </w:r>
            <w:r>
              <w:rPr>
                <w:rFonts w:hint="default" w:ascii="Times New Roman" w:hAnsi="Times New Roman" w:eastAsia="方正仿宋_GBK" w:cs="Times New Roman"/>
                <w:i w:val="0"/>
                <w:color w:val="auto"/>
                <w:sz w:val="22"/>
                <w:szCs w:val="22"/>
                <w:highlight w:val="none"/>
                <w:u w:val="none"/>
                <w:lang w:eastAsia="zh-CN"/>
              </w:rPr>
              <w:t>最高</w:t>
            </w:r>
            <w:r>
              <w:rPr>
                <w:rFonts w:hint="default" w:ascii="Times New Roman" w:hAnsi="Times New Roman" w:eastAsia="方正仿宋_GBK" w:cs="Times New Roman"/>
                <w:i w:val="0"/>
                <w:color w:val="auto"/>
                <w:sz w:val="22"/>
                <w:szCs w:val="22"/>
                <w:highlight w:val="none"/>
                <w:u w:val="none"/>
              </w:rPr>
              <w:t>扣20分</w:t>
            </w:r>
            <w:r>
              <w:rPr>
                <w:rFonts w:hint="default" w:ascii="Times New Roman" w:hAnsi="Times New Roman" w:eastAsia="方正仿宋_GBK" w:cs="Times New Roman"/>
                <w:i w:val="0"/>
                <w:color w:val="auto"/>
                <w:sz w:val="22"/>
                <w:szCs w:val="22"/>
                <w:highlight w:val="none"/>
                <w:u w:val="none"/>
                <w:lang w:eastAsia="zh-CN"/>
              </w:rPr>
              <w:t>；</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sz w:val="22"/>
                <w:szCs w:val="22"/>
                <w:highlight w:val="none"/>
                <w:u w:val="none"/>
                <w:lang w:eastAsia="zh-CN"/>
              </w:rPr>
            </w:pPr>
            <w:r>
              <w:rPr>
                <w:rFonts w:hint="default" w:ascii="Times New Roman" w:hAnsi="Times New Roman" w:eastAsia="方正仿宋_GBK" w:cs="Times New Roman"/>
                <w:i w:val="0"/>
                <w:color w:val="auto"/>
                <w:sz w:val="22"/>
                <w:szCs w:val="22"/>
                <w:highlight w:val="none"/>
                <w:u w:val="none"/>
              </w:rPr>
              <w:t>⑤药品线下采购率：考核年度内，公立医疗机构及已签订《广州市医疗保障定点医疗机构医疗服务项目结算补充协议（非公立）》的定点医疗机构药品线下采购总金额占药品采购总金额的比例。线下采购是指未在省平台、广州平台发起采购订单的情况（不包括中药饮片）。对线下采购率大于5%的医疗机构，指标值每超出1%扣</w:t>
            </w:r>
            <w:r>
              <w:rPr>
                <w:rFonts w:hint="default" w:ascii="Times New Roman" w:hAnsi="Times New Roman" w:eastAsia="方正仿宋_GBK" w:cs="Times New Roman"/>
                <w:i w:val="0"/>
                <w:strike w:val="0"/>
                <w:dstrike w:val="0"/>
                <w:color w:val="auto"/>
                <w:sz w:val="22"/>
                <w:szCs w:val="22"/>
                <w:highlight w:val="none"/>
                <w:u w:val="none"/>
                <w:lang w:val="en-US" w:eastAsia="zh-CN"/>
              </w:rPr>
              <w:t>1</w:t>
            </w:r>
            <w:r>
              <w:rPr>
                <w:rFonts w:hint="default" w:ascii="Times New Roman" w:hAnsi="Times New Roman" w:eastAsia="方正仿宋_GBK" w:cs="Times New Roman"/>
                <w:i w:val="0"/>
                <w:color w:val="auto"/>
                <w:sz w:val="22"/>
                <w:szCs w:val="22"/>
                <w:highlight w:val="none"/>
                <w:u w:val="none"/>
              </w:rPr>
              <w:t>分，超出部分不足1%的按1%计。</w:t>
            </w:r>
            <w:r>
              <w:rPr>
                <w:rFonts w:hint="default" w:ascii="Times New Roman" w:hAnsi="Times New Roman" w:eastAsia="方正仿宋_GBK" w:cs="Times New Roman"/>
                <w:i w:val="0"/>
                <w:color w:val="auto"/>
                <w:sz w:val="22"/>
                <w:szCs w:val="22"/>
                <w:highlight w:val="none"/>
                <w:u w:val="none"/>
                <w:lang w:eastAsia="zh-CN"/>
              </w:rPr>
              <w:t>最高</w:t>
            </w:r>
            <w:r>
              <w:rPr>
                <w:rFonts w:hint="default" w:ascii="Times New Roman" w:hAnsi="Times New Roman" w:eastAsia="方正仿宋_GBK" w:cs="Times New Roman"/>
                <w:i w:val="0"/>
                <w:color w:val="auto"/>
                <w:sz w:val="22"/>
                <w:szCs w:val="22"/>
                <w:highlight w:val="none"/>
                <w:u w:val="none"/>
              </w:rPr>
              <w:t>扣</w:t>
            </w:r>
            <w:r>
              <w:rPr>
                <w:rFonts w:hint="default" w:ascii="Times New Roman" w:hAnsi="Times New Roman" w:eastAsia="方正仿宋_GBK" w:cs="Times New Roman"/>
                <w:i w:val="0"/>
                <w:color w:val="auto"/>
                <w:sz w:val="22"/>
                <w:szCs w:val="22"/>
                <w:highlight w:val="none"/>
                <w:u w:val="none"/>
                <w:lang w:val="en-US" w:eastAsia="zh-CN"/>
              </w:rPr>
              <w:t>5</w:t>
            </w:r>
            <w:r>
              <w:rPr>
                <w:rFonts w:hint="default" w:ascii="Times New Roman" w:hAnsi="Times New Roman" w:eastAsia="方正仿宋_GBK" w:cs="Times New Roman"/>
                <w:i w:val="0"/>
                <w:color w:val="auto"/>
                <w:sz w:val="22"/>
                <w:szCs w:val="22"/>
                <w:highlight w:val="none"/>
                <w:u w:val="none"/>
              </w:rPr>
              <w:t>分</w:t>
            </w:r>
            <w:r>
              <w:rPr>
                <w:rFonts w:hint="default" w:ascii="Times New Roman" w:hAnsi="Times New Roman" w:eastAsia="方正仿宋_GBK" w:cs="Times New Roman"/>
                <w:i w:val="0"/>
                <w:color w:val="auto"/>
                <w:sz w:val="22"/>
                <w:szCs w:val="22"/>
                <w:highlight w:val="none"/>
                <w:u w:val="none"/>
                <w:lang w:eastAsia="zh-CN"/>
              </w:rPr>
              <w:t>；</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sz w:val="22"/>
                <w:szCs w:val="22"/>
                <w:highlight w:val="none"/>
                <w:u w:val="none"/>
              </w:rPr>
              <w:t>⑥耗材线上采购率：考核年度内，公立医疗机构及已签订《广州市医疗保障定点医疗机构医疗服务项目结算补充协议（非公立）》的定点医疗机构医用耗材线上采购总金额占医用耗材采购总金额的比例。线上采购是指在采购平台发起采购订单的情况。将各公立医疗机构的医用耗材线上采购率从高到低排序，将末位20%的指标值视实际情况分为不超过5档，从第1档开始扣分，每降一档扣</w:t>
            </w:r>
            <w:r>
              <w:rPr>
                <w:rFonts w:hint="default" w:ascii="Times New Roman" w:hAnsi="Times New Roman" w:eastAsia="方正仿宋_GBK" w:cs="Times New Roman"/>
                <w:i w:val="0"/>
                <w:strike w:val="0"/>
                <w:dstrike w:val="0"/>
                <w:color w:val="auto"/>
                <w:sz w:val="22"/>
                <w:szCs w:val="22"/>
                <w:highlight w:val="none"/>
                <w:u w:val="none"/>
                <w:lang w:val="en-US" w:eastAsia="zh-CN"/>
              </w:rPr>
              <w:t>3</w:t>
            </w:r>
            <w:r>
              <w:rPr>
                <w:rFonts w:hint="default" w:ascii="Times New Roman" w:hAnsi="Times New Roman" w:eastAsia="方正仿宋_GBK" w:cs="Times New Roman"/>
                <w:i w:val="0"/>
                <w:color w:val="auto"/>
                <w:sz w:val="22"/>
                <w:szCs w:val="22"/>
                <w:highlight w:val="none"/>
                <w:u w:val="none"/>
              </w:rPr>
              <w:t>分。</w:t>
            </w:r>
            <w:r>
              <w:rPr>
                <w:rFonts w:hint="default" w:ascii="Times New Roman" w:hAnsi="Times New Roman" w:eastAsia="方正仿宋_GBK" w:cs="Times New Roman"/>
                <w:i w:val="0"/>
                <w:color w:val="auto"/>
                <w:sz w:val="22"/>
                <w:szCs w:val="22"/>
                <w:highlight w:val="none"/>
                <w:u w:val="none"/>
                <w:lang w:eastAsia="zh-CN"/>
              </w:rPr>
              <w:t>最高</w:t>
            </w:r>
            <w:r>
              <w:rPr>
                <w:rFonts w:hint="default" w:ascii="Times New Roman" w:hAnsi="Times New Roman" w:eastAsia="方正仿宋_GBK" w:cs="Times New Roman"/>
                <w:i w:val="0"/>
                <w:color w:val="auto"/>
                <w:sz w:val="22"/>
                <w:szCs w:val="22"/>
                <w:highlight w:val="none"/>
                <w:u w:val="none"/>
              </w:rPr>
              <w:t>扣</w:t>
            </w:r>
            <w:r>
              <w:rPr>
                <w:rFonts w:hint="default" w:ascii="Times New Roman" w:hAnsi="Times New Roman" w:eastAsia="方正仿宋_GBK" w:cs="Times New Roman"/>
                <w:i w:val="0"/>
                <w:strike w:val="0"/>
                <w:dstrike w:val="0"/>
                <w:color w:val="auto"/>
                <w:sz w:val="22"/>
                <w:szCs w:val="22"/>
                <w:highlight w:val="none"/>
                <w:u w:val="none"/>
                <w:lang w:val="en-US" w:eastAsia="zh-CN"/>
              </w:rPr>
              <w:t>15</w:t>
            </w:r>
            <w:r>
              <w:rPr>
                <w:rFonts w:hint="default" w:ascii="Times New Roman" w:hAnsi="Times New Roman" w:eastAsia="方正仿宋_GBK" w:cs="Times New Roman"/>
                <w:i w:val="0"/>
                <w:color w:val="auto"/>
                <w:sz w:val="22"/>
                <w:szCs w:val="22"/>
                <w:highlight w:val="none"/>
                <w:u w:val="none"/>
              </w:rPr>
              <w:t>分。</w:t>
            </w:r>
          </w:p>
        </w:tc>
        <w:tc>
          <w:tcPr>
            <w:tcW w:w="397" w:type="pct"/>
            <w:tcBorders>
              <w:bottom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方正仿宋_GBK" w:cs="Times New Roman"/>
                <w:i w:val="0"/>
                <w:iCs w:val="0"/>
                <w:color w:val="auto"/>
                <w:kern w:val="0"/>
                <w:sz w:val="22"/>
                <w:szCs w:val="22"/>
                <w:highlight w:val="none"/>
                <w:u w:val="none"/>
                <w:lang w:val="en-US" w:eastAsia="zh-CN" w:bidi="ar"/>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2"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op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lang w:val="en-US"/>
              </w:rPr>
            </w:pPr>
            <w:r>
              <w:rPr>
                <w:rFonts w:hint="default" w:ascii="Times New Roman" w:hAnsi="Times New Roman" w:eastAsia="宋体" w:cs="Times New Roman"/>
                <w:i w:val="0"/>
                <w:iCs w:val="0"/>
                <w:color w:val="auto"/>
                <w:kern w:val="0"/>
                <w:sz w:val="22"/>
                <w:szCs w:val="22"/>
                <w:highlight w:val="none"/>
                <w:u w:val="none"/>
                <w:lang w:val="en-US" w:eastAsia="zh-CN" w:bidi="ar"/>
              </w:rPr>
              <w:t>2</w:t>
            </w:r>
            <w:r>
              <w:rPr>
                <w:rFonts w:hint="default" w:ascii="Times New Roman" w:hAnsi="Times New Roman" w:cs="Times New Roman"/>
                <w:i w:val="0"/>
                <w:iCs w:val="0"/>
                <w:color w:val="auto"/>
                <w:kern w:val="0"/>
                <w:sz w:val="22"/>
                <w:szCs w:val="22"/>
                <w:highlight w:val="none"/>
                <w:u w:val="none"/>
                <w:lang w:val="en-US" w:eastAsia="zh-CN" w:bidi="ar"/>
              </w:rPr>
              <w:t>5</w:t>
            </w:r>
          </w:p>
        </w:tc>
        <w:tc>
          <w:tcPr>
            <w:tcW w:w="410" w:type="pct"/>
            <w:tcBorders>
              <w:top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药品耗材采购加分情况</w:t>
            </w:r>
          </w:p>
        </w:tc>
        <w:tc>
          <w:tcPr>
            <w:tcW w:w="349" w:type="pct"/>
            <w:tcBorders>
              <w:top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op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op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①药品采购总金额排名：对考核年度内三级、二级、一级（含未分级）医疗机构在广州平台的采购总金额（已收货验收的订单纳入统计范围）分别从高到低进行排名，排名位于每个级别前20%的医疗机构加5分；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②医用耗材采购总金额排名：对考核年度内三级、二级、一级（含未分级）医疗机构在广州平台的采购总金额（已收货验收的订单纳入统计范围）分别从高到低排序进行排名，排名位于每个级别前20%的医疗机构加5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③积极配合药采工作：考核年度内完成院内采购系统与广州平台对接加2分、开展港澳药械通线上采购加2分、参加医疗机构医用耗材联合采购工作加2分、积极参与药采方面的改革试点项目加2分、积极参与药采部门开展的调研及系统测试等工作加2分，此项累计最高加5分。因未在规定时限内完成集采报量、整改、提交报告等事项被药采部门通报的，该项不得分。</w:t>
            </w:r>
          </w:p>
        </w:tc>
        <w:tc>
          <w:tcPr>
            <w:tcW w:w="397" w:type="pct"/>
            <w:tcBorders>
              <w:top w:val="single" w:color="auto" w:sz="4" w:space="0"/>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r>
              <w:rPr>
                <w:rFonts w:hint="default" w:ascii="Times New Roman" w:hAnsi="Times New Roman" w:eastAsia="方正仿宋_GBK" w:cs="Times New Roman"/>
                <w:i w:val="0"/>
                <w:iCs w:val="0"/>
                <w:color w:val="auto"/>
                <w:kern w:val="0"/>
                <w:sz w:val="22"/>
                <w:szCs w:val="22"/>
                <w:highlight w:val="none"/>
                <w:u w:val="none"/>
                <w:lang w:val="en-US" w:eastAsia="zh-CN" w:bidi="ar"/>
              </w:rPr>
              <w:t>加分后药品及耗材采购考核项目总分值不超过100分。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30" w:hRule="atLeast"/>
          <w:jc w:val="center"/>
        </w:trPr>
        <w:tc>
          <w:tcPr>
            <w:tcW w:w="409"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iCs w:val="0"/>
                <w:color w:val="auto"/>
                <w:sz w:val="22"/>
                <w:szCs w:val="22"/>
                <w:highlight w:val="none"/>
                <w:u w:val="none"/>
              </w:rPr>
            </w:pPr>
            <w:r>
              <w:rPr>
                <w:rFonts w:hint="default" w:ascii="Times New Roman" w:hAnsi="Times New Roman" w:eastAsia="方正仿宋_GBK" w:cs="Times New Roman"/>
                <w:b/>
                <w:bCs/>
                <w:i w:val="0"/>
                <w:iCs w:val="0"/>
                <w:color w:val="auto"/>
                <w:kern w:val="0"/>
                <w:sz w:val="22"/>
                <w:szCs w:val="22"/>
                <w:highlight w:val="none"/>
                <w:u w:val="none"/>
                <w:lang w:val="en-US" w:eastAsia="zh-CN" w:bidi="ar"/>
              </w:rPr>
              <w:t>费用控制</w:t>
            </w: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lang w:val="en-US"/>
              </w:rPr>
            </w:pPr>
            <w:r>
              <w:rPr>
                <w:rFonts w:hint="default" w:ascii="Times New Roman" w:hAnsi="Times New Roman" w:eastAsia="宋体" w:cs="Times New Roman"/>
                <w:i w:val="0"/>
                <w:iCs w:val="0"/>
                <w:color w:val="auto"/>
                <w:kern w:val="0"/>
                <w:sz w:val="22"/>
                <w:szCs w:val="22"/>
                <w:highlight w:val="none"/>
                <w:u w:val="none"/>
                <w:lang w:val="en-US" w:eastAsia="zh-CN" w:bidi="ar"/>
              </w:rPr>
              <w:t>2</w:t>
            </w:r>
            <w:r>
              <w:rPr>
                <w:rFonts w:hint="default" w:ascii="Times New Roman" w:hAnsi="Times New Roman" w:cs="Times New Roman"/>
                <w:i w:val="0"/>
                <w:iCs w:val="0"/>
                <w:color w:val="auto"/>
                <w:kern w:val="0"/>
                <w:sz w:val="22"/>
                <w:szCs w:val="22"/>
                <w:highlight w:val="none"/>
                <w:u w:val="none"/>
                <w:lang w:val="en-US" w:eastAsia="zh-CN" w:bidi="ar"/>
              </w:rPr>
              <w:t>6</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参保人员年次均门诊费用增长率</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年度门诊次均费用=年度门诊费用总额/年度门诊总人次；门诊次均费用增长率=（本年度门诊次均费用－上年度门诊次均费用）/上年度门诊次均费用× 100%（本年度结算时间为2024年1至11月），高于同级别平均水平的，每高1%扣10分（差值≤1扣10分，1&lt;差值≤2扣20分，以此类推）。本项最高扣100分。</w:t>
            </w:r>
          </w:p>
        </w:tc>
        <w:tc>
          <w:tcPr>
            <w:tcW w:w="397"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lang w:val="en-US" w:eastAsia="zh-CN"/>
              </w:rPr>
            </w:pPr>
            <w:r>
              <w:rPr>
                <w:rFonts w:hint="default" w:ascii="Times New Roman" w:hAnsi="Times New Roman" w:cs="Times New Roman"/>
                <w:i w:val="0"/>
                <w:iCs w:val="0"/>
                <w:color w:val="auto"/>
                <w:kern w:val="0"/>
                <w:sz w:val="22"/>
                <w:szCs w:val="22"/>
                <w:highlight w:val="none"/>
                <w:u w:val="none"/>
                <w:lang w:val="en-US" w:eastAsia="zh-CN" w:bidi="ar"/>
              </w:rPr>
              <w:t>200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92"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sz w:val="22"/>
                <w:szCs w:val="22"/>
                <w:highlight w:val="none"/>
                <w:u w:val="none"/>
                <w:lang w:val="en-US"/>
              </w:rPr>
            </w:pPr>
            <w:r>
              <w:rPr>
                <w:rFonts w:hint="default" w:ascii="Times New Roman" w:hAnsi="Times New Roman" w:eastAsia="宋体" w:cs="Times New Roman"/>
                <w:i w:val="0"/>
                <w:iCs w:val="0"/>
                <w:color w:val="auto"/>
                <w:kern w:val="0"/>
                <w:sz w:val="22"/>
                <w:szCs w:val="22"/>
                <w:highlight w:val="none"/>
                <w:u w:val="none"/>
                <w:lang w:val="en-US" w:eastAsia="zh-CN" w:bidi="ar"/>
              </w:rPr>
              <w:t>2</w:t>
            </w:r>
            <w:r>
              <w:rPr>
                <w:rFonts w:hint="default" w:ascii="Times New Roman" w:hAnsi="Times New Roman" w:cs="Times New Roman"/>
                <w:i w:val="0"/>
                <w:iCs w:val="0"/>
                <w:color w:val="auto"/>
                <w:kern w:val="0"/>
                <w:sz w:val="22"/>
                <w:szCs w:val="22"/>
                <w:highlight w:val="none"/>
                <w:u w:val="none"/>
                <w:lang w:val="en-US" w:eastAsia="zh-CN" w:bidi="ar"/>
              </w:rPr>
              <w:t>7</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人次人头比</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sz w:val="22"/>
                <w:szCs w:val="22"/>
                <w:highlight w:val="none"/>
                <w:u w:val="none"/>
              </w:rPr>
              <w:t>①</w:t>
            </w:r>
            <w:r>
              <w:rPr>
                <w:rFonts w:hint="default" w:ascii="Times New Roman" w:hAnsi="Times New Roman" w:eastAsia="方正仿宋_GBK" w:cs="Times New Roman"/>
                <w:i w:val="0"/>
                <w:color w:val="auto"/>
                <w:kern w:val="0"/>
                <w:sz w:val="22"/>
                <w:szCs w:val="22"/>
                <w:highlight w:val="none"/>
                <w:u w:val="none"/>
                <w:lang w:val="en-US" w:eastAsia="zh-CN" w:bidi="ar"/>
              </w:rPr>
              <w:t>人次人头比=住院人次/住院人数，超过同级平均值20%的，每高10%扣20分，最高扣100分。住院例数不足100人次机构及精神病专科、肿瘤专科医院此项目不扣分；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sz w:val="22"/>
                <w:szCs w:val="22"/>
                <w:highlight w:val="none"/>
                <w:u w:val="none"/>
              </w:rPr>
              <w:t>②</w:t>
            </w:r>
            <w:r>
              <w:rPr>
                <w:rFonts w:hint="default" w:ascii="Times New Roman" w:hAnsi="Times New Roman" w:eastAsia="方正仿宋_GBK" w:cs="Times New Roman"/>
                <w:i w:val="0"/>
                <w:color w:val="auto"/>
                <w:kern w:val="0"/>
                <w:sz w:val="22"/>
                <w:szCs w:val="22"/>
                <w:highlight w:val="none"/>
                <w:u w:val="none"/>
                <w:lang w:val="en-US" w:eastAsia="zh-CN" w:bidi="ar"/>
              </w:rPr>
              <w:t>人次人头比=门诊人次/门诊人数，超过同级平均值20%的，每高10%扣20分，最高扣100分。门诊例数不足120人次机构此项目不扣分。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本项最高扣100分。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68" w:hRule="atLeast"/>
          <w:jc w:val="center"/>
        </w:trPr>
        <w:tc>
          <w:tcPr>
            <w:tcW w:w="409"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color w:val="auto"/>
                <w:sz w:val="22"/>
                <w:szCs w:val="22"/>
                <w:highlight w:val="none"/>
                <w:u w:val="none"/>
                <w:lang w:eastAsia="zh-CN"/>
              </w:rPr>
            </w:pPr>
            <w:r>
              <w:rPr>
                <w:rFonts w:hint="default" w:ascii="Times New Roman" w:hAnsi="Times New Roman" w:eastAsia="方正仿宋_GBK" w:cs="Times New Roman"/>
                <w:b/>
                <w:bCs/>
                <w:i w:val="0"/>
                <w:color w:val="auto"/>
                <w:sz w:val="22"/>
                <w:szCs w:val="22"/>
                <w:highlight w:val="none"/>
                <w:u w:val="none"/>
                <w:lang w:eastAsia="zh-CN"/>
              </w:rPr>
              <w:t>重点</w:t>
            </w:r>
          </w:p>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r>
              <w:rPr>
                <w:rFonts w:hint="default" w:ascii="Times New Roman" w:hAnsi="Times New Roman" w:eastAsia="方正仿宋_GBK" w:cs="Times New Roman"/>
                <w:b/>
                <w:bCs/>
                <w:i w:val="0"/>
                <w:color w:val="auto"/>
                <w:sz w:val="22"/>
                <w:szCs w:val="22"/>
                <w:highlight w:val="none"/>
                <w:u w:val="none"/>
                <w:lang w:eastAsia="zh-CN"/>
              </w:rPr>
              <w:t>工作</w:t>
            </w:r>
          </w:p>
        </w:tc>
        <w:tc>
          <w:tcPr>
            <w:tcW w:w="3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kern w:val="2"/>
                <w:sz w:val="22"/>
                <w:szCs w:val="22"/>
                <w:highlight w:val="none"/>
                <w:u w:val="none"/>
                <w:lang w:val="en-US" w:eastAsia="zh-CN" w:bidi="ar-SA"/>
              </w:rPr>
            </w:pPr>
            <w:r>
              <w:rPr>
                <w:rFonts w:hint="default" w:ascii="Times New Roman" w:hAnsi="Times New Roman" w:eastAsia="方正仿宋_GBK" w:cs="Times New Roman"/>
                <w:i w:val="0"/>
                <w:color w:val="auto"/>
                <w:sz w:val="22"/>
                <w:szCs w:val="22"/>
                <w:highlight w:val="none"/>
                <w:u w:val="none"/>
                <w:lang w:val="en-US" w:eastAsia="zh-CN"/>
              </w:rPr>
              <w:t>28</w:t>
            </w:r>
          </w:p>
        </w:tc>
        <w:tc>
          <w:tcPr>
            <w:tcW w:w="410" w:type="pct"/>
            <w:tcBorders>
              <w:tl2br w:val="nil"/>
              <w:tr2bl w:val="nil"/>
            </w:tcBorders>
            <w:noWrap w:val="0"/>
            <w:vAlign w:val="center"/>
          </w:tcPr>
          <w:p>
            <w:pPr>
              <w:keepNext w:val="0"/>
              <w:keepLines w:val="0"/>
              <w:widowControl/>
              <w:suppressLineNumbers w:val="0"/>
              <w:spacing w:line="300" w:lineRule="exact"/>
              <w:jc w:val="center"/>
              <w:textAlignment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r>
              <w:rPr>
                <w:rStyle w:val="13"/>
                <w:rFonts w:hint="default" w:ascii="Times New Roman" w:hAnsi="Times New Roman" w:cs="Times New Roman"/>
                <w:color w:val="auto"/>
                <w:highlight w:val="none"/>
                <w:lang w:val="en-US" w:eastAsia="zh-CN" w:bidi="ar"/>
              </w:rPr>
              <w:t>医保移动支付推广</w:t>
            </w:r>
          </w:p>
        </w:tc>
        <w:tc>
          <w:tcPr>
            <w:tcW w:w="349" w:type="pct"/>
            <w:tcBorders>
              <w:tl2br w:val="nil"/>
              <w:tr2bl w:val="nil"/>
            </w:tcBorders>
            <w:noWrap w:val="0"/>
            <w:vAlign w:val="center"/>
          </w:tcPr>
          <w:p>
            <w:pPr>
              <w:keepNext w:val="0"/>
              <w:keepLines w:val="0"/>
              <w:widowControl/>
              <w:suppressLineNumbers w:val="0"/>
              <w:spacing w:line="300" w:lineRule="exact"/>
              <w:jc w:val="center"/>
              <w:textAlignment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r>
              <w:rPr>
                <w:rStyle w:val="13"/>
                <w:rFonts w:hint="default" w:ascii="Times New Roman" w:hAnsi="Times New Roman" w:cs="Times New Roman"/>
                <w:color w:val="auto"/>
                <w:highlight w:val="none"/>
                <w:lang w:val="en-US" w:eastAsia="zh-CN" w:bidi="ar"/>
              </w:rPr>
              <w:t>日常考核</w:t>
            </w:r>
          </w:p>
        </w:tc>
        <w:tc>
          <w:tcPr>
            <w:tcW w:w="349" w:type="pct"/>
            <w:tcBorders>
              <w:tl2br w:val="nil"/>
              <w:tr2bl w:val="nil"/>
            </w:tcBorders>
            <w:noWrap w:val="0"/>
            <w:vAlign w:val="center"/>
          </w:tcPr>
          <w:p>
            <w:pPr>
              <w:spacing w:line="300" w:lineRule="exact"/>
              <w:jc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widowControl/>
              <w:suppressLineNumbers w:val="0"/>
              <w:spacing w:line="280" w:lineRule="exact"/>
              <w:jc w:val="both"/>
              <w:textAlignment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r>
              <w:rPr>
                <w:rStyle w:val="13"/>
                <w:rFonts w:hint="default" w:ascii="Times New Roman" w:hAnsi="Times New Roman" w:cs="Times New Roman"/>
                <w:color w:val="auto"/>
                <w:highlight w:val="none"/>
                <w:lang w:val="en-US" w:eastAsia="zh-CN" w:bidi="ar"/>
              </w:rPr>
              <w:t>本项最高得</w:t>
            </w:r>
            <w:r>
              <w:rPr>
                <w:rFonts w:hint="default" w:ascii="Times New Roman" w:hAnsi="Times New Roman" w:eastAsia="方正仿宋_GBK" w:cs="Times New Roman"/>
                <w:i w:val="0"/>
                <w:iCs w:val="0"/>
                <w:color w:val="auto"/>
                <w:kern w:val="0"/>
                <w:sz w:val="22"/>
                <w:szCs w:val="22"/>
                <w:highlight w:val="none"/>
                <w:u w:val="none"/>
                <w:lang w:val="en-US" w:eastAsia="zh-CN" w:bidi="ar"/>
              </w:rPr>
              <w:t>40</w:t>
            </w:r>
            <w:r>
              <w:rPr>
                <w:rStyle w:val="13"/>
                <w:rFonts w:hint="default" w:ascii="Times New Roman" w:hAnsi="Times New Roman" w:cs="Times New Roman"/>
                <w:color w:val="auto"/>
                <w:highlight w:val="none"/>
                <w:lang w:val="en-US" w:eastAsia="zh-CN" w:bidi="ar"/>
              </w:rPr>
              <w:t>分。</w:t>
            </w:r>
            <w:r>
              <w:rPr>
                <w:rFonts w:hint="default" w:ascii="Times New Roman" w:hAnsi="Times New Roman" w:eastAsia="方正仿宋_GBK" w:cs="Times New Roman"/>
                <w:i w:val="0"/>
                <w:iCs w:val="0"/>
                <w:color w:val="auto"/>
                <w:kern w:val="0"/>
                <w:sz w:val="22"/>
                <w:szCs w:val="22"/>
                <w:highlight w:val="none"/>
                <w:u w:val="none"/>
                <w:lang w:val="en-US" w:eastAsia="zh-CN" w:bidi="ar"/>
              </w:rPr>
              <w:br w:type="textWrapping"/>
            </w:r>
            <w:r>
              <w:rPr>
                <w:rStyle w:val="13"/>
                <w:rFonts w:hint="default" w:ascii="Times New Roman" w:hAnsi="Times New Roman" w:cs="Times New Roman"/>
                <w:color w:val="auto"/>
                <w:highlight w:val="none"/>
                <w:lang w:val="en-US" w:eastAsia="zh-CN" w:bidi="ar"/>
              </w:rPr>
              <w:t>①本地三级及日均结算量超过</w:t>
            </w:r>
            <w:r>
              <w:rPr>
                <w:rFonts w:hint="default" w:ascii="Times New Roman" w:hAnsi="Times New Roman" w:eastAsia="方正仿宋_GBK" w:cs="Times New Roman"/>
                <w:i w:val="0"/>
                <w:iCs w:val="0"/>
                <w:color w:val="auto"/>
                <w:kern w:val="0"/>
                <w:sz w:val="22"/>
                <w:szCs w:val="22"/>
                <w:highlight w:val="none"/>
                <w:u w:val="none"/>
                <w:lang w:val="en-US" w:eastAsia="zh-CN" w:bidi="ar"/>
              </w:rPr>
              <w:t>1000</w:t>
            </w:r>
            <w:r>
              <w:rPr>
                <w:rStyle w:val="13"/>
                <w:rFonts w:hint="default" w:ascii="Times New Roman" w:hAnsi="Times New Roman" w:cs="Times New Roman"/>
                <w:color w:val="auto"/>
                <w:highlight w:val="none"/>
                <w:lang w:val="en-US" w:eastAsia="zh-CN" w:bidi="ar"/>
              </w:rPr>
              <w:t>笔的二级定点机构未按要求完成市直医保移动支付建设并上线（医保移动支付上线标准：一是已经通过</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医保码线上身份核验</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验收且在正式环境应用；二是正式环境上线后有物料引导且一周内有移动支付笔数不少于</w:t>
            </w:r>
            <w:r>
              <w:rPr>
                <w:rFonts w:hint="default" w:ascii="Times New Roman" w:hAnsi="Times New Roman" w:eastAsia="方正仿宋_GBK" w:cs="Times New Roman"/>
                <w:i w:val="0"/>
                <w:iCs w:val="0"/>
                <w:color w:val="auto"/>
                <w:kern w:val="0"/>
                <w:sz w:val="22"/>
                <w:szCs w:val="22"/>
                <w:highlight w:val="none"/>
                <w:u w:val="none"/>
                <w:lang w:val="en-US" w:eastAsia="zh-CN" w:bidi="ar"/>
              </w:rPr>
              <w:t>10</w:t>
            </w:r>
            <w:r>
              <w:rPr>
                <w:rStyle w:val="13"/>
                <w:rFonts w:hint="default" w:ascii="Times New Roman" w:hAnsi="Times New Roman" w:cs="Times New Roman"/>
                <w:color w:val="auto"/>
                <w:highlight w:val="none"/>
                <w:lang w:val="en-US" w:eastAsia="zh-CN" w:bidi="ar"/>
              </w:rPr>
              <w:t>笔）的，本项不得分；</w:t>
            </w:r>
            <w:r>
              <w:rPr>
                <w:rFonts w:hint="default" w:ascii="Times New Roman" w:hAnsi="Times New Roman" w:eastAsia="方正仿宋_GBK" w:cs="Times New Roman"/>
                <w:i w:val="0"/>
                <w:iCs w:val="0"/>
                <w:color w:val="auto"/>
                <w:kern w:val="0"/>
                <w:sz w:val="22"/>
                <w:szCs w:val="22"/>
                <w:highlight w:val="none"/>
                <w:u w:val="none"/>
                <w:lang w:val="en-US" w:eastAsia="zh-CN" w:bidi="ar"/>
              </w:rPr>
              <w:br w:type="textWrapping"/>
            </w:r>
            <w:r>
              <w:rPr>
                <w:rStyle w:val="13"/>
                <w:rFonts w:hint="default" w:ascii="Times New Roman" w:hAnsi="Times New Roman" w:cs="Times New Roman"/>
                <w:color w:val="auto"/>
                <w:highlight w:val="none"/>
                <w:lang w:val="en-US" w:eastAsia="zh-CN" w:bidi="ar"/>
              </w:rPr>
              <w:t>②本地三级及日均结算量超过</w:t>
            </w:r>
            <w:r>
              <w:rPr>
                <w:rFonts w:hint="default" w:ascii="Times New Roman" w:hAnsi="Times New Roman" w:eastAsia="方正仿宋_GBK" w:cs="Times New Roman"/>
                <w:i w:val="0"/>
                <w:iCs w:val="0"/>
                <w:color w:val="auto"/>
                <w:kern w:val="0"/>
                <w:sz w:val="22"/>
                <w:szCs w:val="22"/>
                <w:highlight w:val="none"/>
                <w:u w:val="none"/>
                <w:lang w:val="en-US" w:eastAsia="zh-CN" w:bidi="ar"/>
              </w:rPr>
              <w:t>1000</w:t>
            </w:r>
            <w:r>
              <w:rPr>
                <w:rStyle w:val="13"/>
                <w:rFonts w:hint="default" w:ascii="Times New Roman" w:hAnsi="Times New Roman" w:cs="Times New Roman"/>
                <w:color w:val="auto"/>
                <w:highlight w:val="none"/>
                <w:lang w:val="en-US" w:eastAsia="zh-CN" w:bidi="ar"/>
              </w:rPr>
              <w:t>笔的二级定点机构已完成市直医保移动支付建设并已上线，且移动支付结算大于</w:t>
            </w:r>
            <w:r>
              <w:rPr>
                <w:rFonts w:hint="default" w:ascii="Times New Roman" w:hAnsi="Times New Roman" w:eastAsia="方正仿宋_GBK" w:cs="Times New Roman"/>
                <w:i w:val="0"/>
                <w:iCs w:val="0"/>
                <w:color w:val="auto"/>
                <w:kern w:val="0"/>
                <w:sz w:val="22"/>
                <w:szCs w:val="22"/>
                <w:highlight w:val="none"/>
                <w:u w:val="none"/>
                <w:lang w:val="en-US" w:eastAsia="zh-CN" w:bidi="ar"/>
              </w:rPr>
              <w:t>0</w:t>
            </w:r>
            <w:r>
              <w:rPr>
                <w:rStyle w:val="13"/>
                <w:rFonts w:hint="default" w:ascii="Times New Roman" w:hAnsi="Times New Roman" w:cs="Times New Roman"/>
                <w:color w:val="auto"/>
                <w:highlight w:val="none"/>
                <w:lang w:val="en-US" w:eastAsia="zh-CN" w:bidi="ar"/>
              </w:rPr>
              <w:t>但占比不足</w:t>
            </w:r>
            <w:r>
              <w:rPr>
                <w:rFonts w:hint="default" w:ascii="Times New Roman" w:hAnsi="Times New Roman" w:eastAsia="方正仿宋_GBK" w:cs="Times New Roman"/>
                <w:i w:val="0"/>
                <w:iCs w:val="0"/>
                <w:color w:val="auto"/>
                <w:kern w:val="0"/>
                <w:sz w:val="22"/>
                <w:szCs w:val="22"/>
                <w:highlight w:val="none"/>
                <w:u w:val="none"/>
                <w:lang w:val="en-US" w:eastAsia="zh-CN" w:bidi="ar"/>
              </w:rPr>
              <w:t>5%</w:t>
            </w:r>
            <w:r>
              <w:rPr>
                <w:rStyle w:val="13"/>
                <w:rFonts w:hint="default" w:ascii="Times New Roman" w:hAnsi="Times New Roman" w:cs="Times New Roman"/>
                <w:color w:val="auto"/>
                <w:highlight w:val="none"/>
                <w:lang w:val="en-US" w:eastAsia="zh-CN" w:bidi="ar"/>
              </w:rPr>
              <w:t>的，得</w:t>
            </w:r>
            <w:r>
              <w:rPr>
                <w:rFonts w:hint="default" w:ascii="Times New Roman" w:hAnsi="Times New Roman" w:eastAsia="方正仿宋_GBK" w:cs="Times New Roman"/>
                <w:i w:val="0"/>
                <w:iCs w:val="0"/>
                <w:color w:val="auto"/>
                <w:kern w:val="0"/>
                <w:sz w:val="22"/>
                <w:szCs w:val="22"/>
                <w:highlight w:val="none"/>
                <w:u w:val="none"/>
                <w:lang w:val="en-US" w:eastAsia="zh-CN" w:bidi="ar"/>
              </w:rPr>
              <w:t>20</w:t>
            </w:r>
            <w:r>
              <w:rPr>
                <w:rStyle w:val="13"/>
                <w:rFonts w:hint="default" w:ascii="Times New Roman" w:hAnsi="Times New Roman" w:cs="Times New Roman"/>
                <w:color w:val="auto"/>
                <w:highlight w:val="none"/>
                <w:lang w:val="en-US" w:eastAsia="zh-CN" w:bidi="ar"/>
              </w:rPr>
              <w:t>分；</w:t>
            </w:r>
            <w:r>
              <w:rPr>
                <w:rFonts w:hint="default" w:ascii="Times New Roman" w:hAnsi="Times New Roman" w:eastAsia="方正仿宋_GBK" w:cs="Times New Roman"/>
                <w:i w:val="0"/>
                <w:iCs w:val="0"/>
                <w:color w:val="auto"/>
                <w:kern w:val="0"/>
                <w:sz w:val="22"/>
                <w:szCs w:val="22"/>
                <w:highlight w:val="none"/>
                <w:u w:val="none"/>
                <w:lang w:val="en-US" w:eastAsia="zh-CN" w:bidi="ar"/>
              </w:rPr>
              <w:br w:type="textWrapping"/>
            </w:r>
            <w:r>
              <w:rPr>
                <w:rStyle w:val="13"/>
                <w:rFonts w:hint="default" w:ascii="Times New Roman" w:hAnsi="Times New Roman" w:cs="Times New Roman"/>
                <w:color w:val="auto"/>
                <w:highlight w:val="none"/>
                <w:lang w:val="en-US" w:eastAsia="zh-CN" w:bidi="ar"/>
              </w:rPr>
              <w:t>③本地三级及日均结算量超过</w:t>
            </w:r>
            <w:r>
              <w:rPr>
                <w:rFonts w:hint="default" w:ascii="Times New Roman" w:hAnsi="Times New Roman" w:eastAsia="方正仿宋_GBK" w:cs="Times New Roman"/>
                <w:i w:val="0"/>
                <w:iCs w:val="0"/>
                <w:color w:val="auto"/>
                <w:kern w:val="0"/>
                <w:sz w:val="22"/>
                <w:szCs w:val="22"/>
                <w:highlight w:val="none"/>
                <w:u w:val="none"/>
                <w:lang w:val="en-US" w:eastAsia="zh-CN" w:bidi="ar"/>
              </w:rPr>
              <w:t>1000</w:t>
            </w:r>
            <w:r>
              <w:rPr>
                <w:rStyle w:val="13"/>
                <w:rFonts w:hint="default" w:ascii="Times New Roman" w:hAnsi="Times New Roman" w:cs="Times New Roman"/>
                <w:color w:val="auto"/>
                <w:highlight w:val="none"/>
                <w:lang w:val="en-US" w:eastAsia="zh-CN" w:bidi="ar"/>
              </w:rPr>
              <w:t>笔的二级定点机构已完成市直医保移动支付建设并已上线，且移动支付结算占比大于等于</w:t>
            </w:r>
            <w:r>
              <w:rPr>
                <w:rFonts w:hint="default" w:ascii="Times New Roman" w:hAnsi="Times New Roman" w:eastAsia="方正仿宋_GBK" w:cs="Times New Roman"/>
                <w:i w:val="0"/>
                <w:iCs w:val="0"/>
                <w:color w:val="auto"/>
                <w:kern w:val="0"/>
                <w:sz w:val="22"/>
                <w:szCs w:val="22"/>
                <w:highlight w:val="none"/>
                <w:u w:val="none"/>
                <w:lang w:val="en-US" w:eastAsia="zh-CN" w:bidi="ar"/>
              </w:rPr>
              <w:t>5%</w:t>
            </w:r>
            <w:r>
              <w:rPr>
                <w:rStyle w:val="13"/>
                <w:rFonts w:hint="default" w:ascii="Times New Roman" w:hAnsi="Times New Roman" w:cs="Times New Roman"/>
                <w:color w:val="auto"/>
                <w:highlight w:val="none"/>
                <w:lang w:val="en-US" w:eastAsia="zh-CN" w:bidi="ar"/>
              </w:rPr>
              <w:t>，小于</w:t>
            </w:r>
            <w:r>
              <w:rPr>
                <w:rFonts w:hint="default" w:ascii="Times New Roman" w:hAnsi="Times New Roman" w:eastAsia="方正仿宋_GBK" w:cs="Times New Roman"/>
                <w:i w:val="0"/>
                <w:iCs w:val="0"/>
                <w:color w:val="auto"/>
                <w:kern w:val="0"/>
                <w:sz w:val="22"/>
                <w:szCs w:val="22"/>
                <w:highlight w:val="none"/>
                <w:u w:val="none"/>
                <w:lang w:val="en-US" w:eastAsia="zh-CN" w:bidi="ar"/>
              </w:rPr>
              <w:t>10%</w:t>
            </w:r>
            <w:r>
              <w:rPr>
                <w:rStyle w:val="13"/>
                <w:rFonts w:hint="default" w:ascii="Times New Roman" w:hAnsi="Times New Roman" w:cs="Times New Roman"/>
                <w:color w:val="auto"/>
                <w:highlight w:val="none"/>
                <w:lang w:val="en-US" w:eastAsia="zh-CN" w:bidi="ar"/>
              </w:rPr>
              <w:t>，得</w:t>
            </w:r>
            <w:r>
              <w:rPr>
                <w:rFonts w:hint="default" w:ascii="Times New Roman" w:hAnsi="Times New Roman" w:eastAsia="方正仿宋_GBK" w:cs="Times New Roman"/>
                <w:i w:val="0"/>
                <w:iCs w:val="0"/>
                <w:color w:val="auto"/>
                <w:kern w:val="0"/>
                <w:sz w:val="22"/>
                <w:szCs w:val="22"/>
                <w:highlight w:val="none"/>
                <w:u w:val="none"/>
                <w:lang w:val="en-US" w:eastAsia="zh-CN" w:bidi="ar"/>
              </w:rPr>
              <w:t>30</w:t>
            </w:r>
            <w:r>
              <w:rPr>
                <w:rStyle w:val="13"/>
                <w:rFonts w:hint="default" w:ascii="Times New Roman" w:hAnsi="Times New Roman" w:cs="Times New Roman"/>
                <w:color w:val="auto"/>
                <w:highlight w:val="none"/>
                <w:lang w:val="en-US" w:eastAsia="zh-CN" w:bidi="ar"/>
              </w:rPr>
              <w:t>分；</w:t>
            </w:r>
            <w:r>
              <w:rPr>
                <w:rFonts w:hint="default" w:ascii="Times New Roman" w:hAnsi="Times New Roman" w:eastAsia="方正仿宋_GBK" w:cs="Times New Roman"/>
                <w:i w:val="0"/>
                <w:iCs w:val="0"/>
                <w:color w:val="auto"/>
                <w:kern w:val="0"/>
                <w:sz w:val="22"/>
                <w:szCs w:val="22"/>
                <w:highlight w:val="none"/>
                <w:u w:val="none"/>
                <w:lang w:val="en-US" w:eastAsia="zh-CN" w:bidi="ar"/>
              </w:rPr>
              <w:br w:type="textWrapping"/>
            </w:r>
            <w:r>
              <w:rPr>
                <w:rStyle w:val="13"/>
                <w:rFonts w:hint="default" w:ascii="Times New Roman" w:hAnsi="Times New Roman" w:cs="Times New Roman"/>
                <w:color w:val="auto"/>
                <w:highlight w:val="none"/>
                <w:lang w:val="en-US" w:eastAsia="zh-CN" w:bidi="ar"/>
              </w:rPr>
              <w:t>④本地三级及日均结算量超过</w:t>
            </w:r>
            <w:r>
              <w:rPr>
                <w:rFonts w:hint="default" w:ascii="Times New Roman" w:hAnsi="Times New Roman" w:eastAsia="方正仿宋_GBK" w:cs="Times New Roman"/>
                <w:i w:val="0"/>
                <w:iCs w:val="0"/>
                <w:color w:val="auto"/>
                <w:kern w:val="0"/>
                <w:sz w:val="22"/>
                <w:szCs w:val="22"/>
                <w:highlight w:val="none"/>
                <w:u w:val="none"/>
                <w:lang w:val="en-US" w:eastAsia="zh-CN" w:bidi="ar"/>
              </w:rPr>
              <w:t>1000</w:t>
            </w:r>
            <w:r>
              <w:rPr>
                <w:rStyle w:val="13"/>
                <w:rFonts w:hint="default" w:ascii="Times New Roman" w:hAnsi="Times New Roman" w:cs="Times New Roman"/>
                <w:color w:val="auto"/>
                <w:highlight w:val="none"/>
                <w:lang w:val="en-US" w:eastAsia="zh-CN" w:bidi="ar"/>
              </w:rPr>
              <w:t>笔的二级定点机构已完成市直医保移动支付建设并已上线，且移动支付结算占比大于等于</w:t>
            </w:r>
            <w:r>
              <w:rPr>
                <w:rFonts w:hint="default" w:ascii="Times New Roman" w:hAnsi="Times New Roman" w:eastAsia="方正仿宋_GBK" w:cs="Times New Roman"/>
                <w:i w:val="0"/>
                <w:iCs w:val="0"/>
                <w:color w:val="auto"/>
                <w:kern w:val="0"/>
                <w:sz w:val="22"/>
                <w:szCs w:val="22"/>
                <w:highlight w:val="none"/>
                <w:u w:val="none"/>
                <w:lang w:val="en-US" w:eastAsia="zh-CN" w:bidi="ar"/>
              </w:rPr>
              <w:t>10%</w:t>
            </w:r>
            <w:r>
              <w:rPr>
                <w:rStyle w:val="13"/>
                <w:rFonts w:hint="default" w:ascii="Times New Roman" w:hAnsi="Times New Roman" w:cs="Times New Roman"/>
                <w:color w:val="auto"/>
                <w:highlight w:val="none"/>
                <w:lang w:val="en-US" w:eastAsia="zh-CN" w:bidi="ar"/>
              </w:rPr>
              <w:t>，得</w:t>
            </w:r>
            <w:r>
              <w:rPr>
                <w:rFonts w:hint="default" w:ascii="Times New Roman" w:hAnsi="Times New Roman" w:eastAsia="方正仿宋_GBK" w:cs="Times New Roman"/>
                <w:i w:val="0"/>
                <w:iCs w:val="0"/>
                <w:color w:val="auto"/>
                <w:kern w:val="0"/>
                <w:sz w:val="22"/>
                <w:szCs w:val="22"/>
                <w:highlight w:val="none"/>
                <w:u w:val="none"/>
                <w:lang w:val="en-US" w:eastAsia="zh-CN" w:bidi="ar"/>
              </w:rPr>
              <w:t>40</w:t>
            </w:r>
            <w:r>
              <w:rPr>
                <w:rStyle w:val="13"/>
                <w:rFonts w:hint="default" w:ascii="Times New Roman" w:hAnsi="Times New Roman" w:cs="Times New Roman"/>
                <w:color w:val="auto"/>
                <w:highlight w:val="none"/>
                <w:lang w:val="en-US" w:eastAsia="zh-CN" w:bidi="ar"/>
              </w:rPr>
              <w:t>分；</w:t>
            </w:r>
            <w:r>
              <w:rPr>
                <w:rFonts w:hint="default" w:ascii="Times New Roman" w:hAnsi="Times New Roman" w:eastAsia="方正仿宋_GBK" w:cs="Times New Roman"/>
                <w:i w:val="0"/>
                <w:iCs w:val="0"/>
                <w:color w:val="auto"/>
                <w:kern w:val="0"/>
                <w:sz w:val="22"/>
                <w:szCs w:val="22"/>
                <w:highlight w:val="none"/>
                <w:u w:val="none"/>
                <w:lang w:val="en-US" w:eastAsia="zh-CN" w:bidi="ar"/>
              </w:rPr>
              <w:br w:type="textWrapping"/>
            </w:r>
            <w:r>
              <w:rPr>
                <w:rStyle w:val="13"/>
                <w:rFonts w:hint="default" w:ascii="Times New Roman" w:hAnsi="Times New Roman" w:cs="Times New Roman"/>
                <w:color w:val="auto"/>
                <w:highlight w:val="none"/>
                <w:lang w:val="en-US" w:eastAsia="zh-CN" w:bidi="ar"/>
              </w:rPr>
              <w:t>⑤其它机构积极参与市直医保移动支付建设工作，按要求在本年度完成系统建设并上线（医保移动支付上线标准：一是已经通过</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医保码线上身份核验</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验收且在正式环境应用；二是正式环境上线后有物料引导且一周内有移动支付笔数不少于</w:t>
            </w:r>
            <w:r>
              <w:rPr>
                <w:rFonts w:hint="default" w:ascii="Times New Roman" w:hAnsi="Times New Roman" w:eastAsia="方正仿宋_GBK" w:cs="Times New Roman"/>
                <w:i w:val="0"/>
                <w:iCs w:val="0"/>
                <w:color w:val="auto"/>
                <w:kern w:val="0"/>
                <w:sz w:val="22"/>
                <w:szCs w:val="22"/>
                <w:highlight w:val="none"/>
                <w:u w:val="none"/>
                <w:lang w:val="en-US" w:eastAsia="zh-CN" w:bidi="ar"/>
              </w:rPr>
              <w:t>10</w:t>
            </w:r>
            <w:r>
              <w:rPr>
                <w:rStyle w:val="13"/>
                <w:rFonts w:hint="default" w:ascii="Times New Roman" w:hAnsi="Times New Roman" w:cs="Times New Roman"/>
                <w:color w:val="auto"/>
                <w:highlight w:val="none"/>
                <w:lang w:val="en-US" w:eastAsia="zh-CN" w:bidi="ar"/>
              </w:rPr>
              <w:t>笔）的，得</w:t>
            </w:r>
            <w:r>
              <w:rPr>
                <w:rFonts w:hint="default" w:ascii="Times New Roman" w:hAnsi="Times New Roman" w:eastAsia="方正仿宋_GBK" w:cs="Times New Roman"/>
                <w:i w:val="0"/>
                <w:iCs w:val="0"/>
                <w:color w:val="auto"/>
                <w:kern w:val="0"/>
                <w:sz w:val="22"/>
                <w:szCs w:val="22"/>
                <w:highlight w:val="none"/>
                <w:u w:val="none"/>
                <w:lang w:val="en-US" w:eastAsia="zh-CN" w:bidi="ar"/>
              </w:rPr>
              <w:t>40</w:t>
            </w:r>
            <w:r>
              <w:rPr>
                <w:rStyle w:val="13"/>
                <w:rFonts w:hint="default" w:ascii="Times New Roman" w:hAnsi="Times New Roman" w:cs="Times New Roman"/>
                <w:color w:val="auto"/>
                <w:highlight w:val="none"/>
                <w:lang w:val="en-US" w:eastAsia="zh-CN" w:bidi="ar"/>
              </w:rPr>
              <w:t>分。</w:t>
            </w:r>
          </w:p>
        </w:tc>
        <w:tc>
          <w:tcPr>
            <w:tcW w:w="397" w:type="pct"/>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auto"/>
                <w:sz w:val="22"/>
                <w:szCs w:val="22"/>
                <w:highlight w:val="none"/>
                <w:u w:val="none"/>
                <w:lang w:val="en-US" w:eastAsia="zh-CN"/>
              </w:rPr>
            </w:pPr>
            <w:r>
              <w:rPr>
                <w:rFonts w:hint="default" w:ascii="Times New Roman" w:hAnsi="Times New Roman" w:eastAsia="方正仿宋_GBK" w:cs="Times New Roman"/>
                <w:i w:val="0"/>
                <w:iCs w:val="0"/>
                <w:color w:val="auto"/>
                <w:sz w:val="22"/>
                <w:szCs w:val="22"/>
                <w:highlight w:val="none"/>
                <w:u w:val="none"/>
                <w:lang w:val="en-US" w:eastAsia="zh-CN"/>
              </w:rPr>
              <w:t>120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52" w:hRule="atLeast"/>
          <w:jc w:val="center"/>
        </w:trPr>
        <w:tc>
          <w:tcPr>
            <w:tcW w:w="409"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color w:val="auto"/>
                <w:sz w:val="22"/>
                <w:szCs w:val="22"/>
                <w:highlight w:val="none"/>
                <w:u w:val="none"/>
                <w:lang w:eastAsia="zh-CN"/>
              </w:rPr>
            </w:pPr>
          </w:p>
        </w:tc>
        <w:tc>
          <w:tcPr>
            <w:tcW w:w="3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kern w:val="2"/>
                <w:sz w:val="22"/>
                <w:szCs w:val="22"/>
                <w:highlight w:val="none"/>
                <w:u w:val="none"/>
                <w:lang w:val="en-US" w:eastAsia="zh-CN" w:bidi="ar-SA"/>
              </w:rPr>
            </w:pPr>
            <w:r>
              <w:rPr>
                <w:rFonts w:hint="default" w:ascii="Times New Roman" w:hAnsi="Times New Roman" w:eastAsia="方正仿宋_GBK" w:cs="Times New Roman"/>
                <w:i w:val="0"/>
                <w:color w:val="auto"/>
                <w:sz w:val="22"/>
                <w:szCs w:val="22"/>
                <w:highlight w:val="none"/>
                <w:u w:val="none"/>
                <w:lang w:val="en-US" w:eastAsia="zh-CN"/>
              </w:rPr>
              <w:t>29</w:t>
            </w:r>
          </w:p>
        </w:tc>
        <w:tc>
          <w:tcPr>
            <w:tcW w:w="410" w:type="pct"/>
            <w:tcBorders>
              <w:tl2br w:val="nil"/>
              <w:tr2bl w:val="nil"/>
            </w:tcBorders>
            <w:noWrap w:val="0"/>
            <w:vAlign w:val="center"/>
          </w:tcPr>
          <w:p>
            <w:pPr>
              <w:keepNext w:val="0"/>
              <w:keepLines w:val="0"/>
              <w:widowControl/>
              <w:suppressLineNumbers w:val="0"/>
              <w:spacing w:line="300" w:lineRule="exact"/>
              <w:jc w:val="center"/>
              <w:textAlignment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r>
              <w:rPr>
                <w:rStyle w:val="13"/>
                <w:rFonts w:hint="default" w:ascii="Times New Roman" w:hAnsi="Times New Roman" w:cs="Times New Roman"/>
                <w:color w:val="auto"/>
                <w:highlight w:val="none"/>
                <w:lang w:val="en-US" w:eastAsia="zh-CN" w:bidi="ar"/>
              </w:rPr>
              <w:t>国谈药配备使用</w:t>
            </w:r>
          </w:p>
        </w:tc>
        <w:tc>
          <w:tcPr>
            <w:tcW w:w="349" w:type="pct"/>
            <w:tcBorders>
              <w:tl2br w:val="nil"/>
              <w:tr2bl w:val="nil"/>
            </w:tcBorders>
            <w:noWrap w:val="0"/>
            <w:vAlign w:val="center"/>
          </w:tcPr>
          <w:p>
            <w:pPr>
              <w:keepNext w:val="0"/>
              <w:keepLines w:val="0"/>
              <w:widowControl/>
              <w:suppressLineNumbers w:val="0"/>
              <w:spacing w:line="300" w:lineRule="exact"/>
              <w:jc w:val="center"/>
              <w:textAlignment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r>
              <w:rPr>
                <w:rStyle w:val="13"/>
                <w:rFonts w:hint="default" w:ascii="Times New Roman" w:hAnsi="Times New Roman" w:cs="Times New Roman"/>
                <w:color w:val="auto"/>
                <w:highlight w:val="none"/>
                <w:lang w:val="en-US" w:eastAsia="zh-CN" w:bidi="ar"/>
              </w:rPr>
              <w:t>日常管理</w:t>
            </w:r>
          </w:p>
        </w:tc>
        <w:tc>
          <w:tcPr>
            <w:tcW w:w="349" w:type="pct"/>
            <w:tcBorders>
              <w:tl2br w:val="nil"/>
              <w:tr2bl w:val="nil"/>
            </w:tcBorders>
            <w:noWrap w:val="0"/>
            <w:vAlign w:val="center"/>
          </w:tcPr>
          <w:p>
            <w:pPr>
              <w:spacing w:line="300" w:lineRule="exact"/>
              <w:jc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p>
        </w:tc>
        <w:tc>
          <w:tcPr>
            <w:tcW w:w="2772" w:type="pct"/>
            <w:tcBorders>
              <w:tl2br w:val="nil"/>
              <w:tr2bl w:val="nil"/>
            </w:tcBorders>
            <w:noWrap w:val="0"/>
            <w:vAlign w:val="center"/>
          </w:tcPr>
          <w:p>
            <w:pPr>
              <w:keepNext w:val="0"/>
              <w:keepLines w:val="0"/>
              <w:widowControl/>
              <w:suppressLineNumbers w:val="0"/>
              <w:spacing w:line="280" w:lineRule="exact"/>
              <w:jc w:val="both"/>
              <w:textAlignment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r>
              <w:rPr>
                <w:rStyle w:val="13"/>
                <w:rFonts w:hint="default" w:ascii="Times New Roman" w:hAnsi="Times New Roman" w:cs="Times New Roman"/>
                <w:color w:val="auto"/>
                <w:highlight w:val="none"/>
                <w:lang w:val="en-US" w:eastAsia="zh-CN" w:bidi="ar"/>
              </w:rPr>
              <w:t>本项最高得</w:t>
            </w:r>
            <w:r>
              <w:rPr>
                <w:rFonts w:hint="default" w:ascii="Times New Roman" w:hAnsi="Times New Roman" w:eastAsia="方正仿宋_GBK" w:cs="Times New Roman"/>
                <w:i w:val="0"/>
                <w:iCs w:val="0"/>
                <w:color w:val="auto"/>
                <w:kern w:val="0"/>
                <w:sz w:val="22"/>
                <w:szCs w:val="22"/>
                <w:highlight w:val="none"/>
                <w:u w:val="none"/>
                <w:lang w:val="en-US" w:eastAsia="zh-CN" w:bidi="ar"/>
              </w:rPr>
              <w:t>40</w:t>
            </w:r>
            <w:r>
              <w:rPr>
                <w:rStyle w:val="13"/>
                <w:rFonts w:hint="default" w:ascii="Times New Roman" w:hAnsi="Times New Roman" w:cs="Times New Roman"/>
                <w:color w:val="auto"/>
                <w:highlight w:val="none"/>
                <w:lang w:val="en-US" w:eastAsia="zh-CN" w:bidi="ar"/>
              </w:rPr>
              <w:t>分。</w:t>
            </w:r>
            <w:r>
              <w:rPr>
                <w:rFonts w:hint="default" w:ascii="Times New Roman" w:hAnsi="Times New Roman" w:eastAsia="方正仿宋_GBK" w:cs="Times New Roman"/>
                <w:i w:val="0"/>
                <w:iCs w:val="0"/>
                <w:color w:val="auto"/>
                <w:kern w:val="0"/>
                <w:sz w:val="22"/>
                <w:szCs w:val="22"/>
                <w:highlight w:val="none"/>
                <w:u w:val="none"/>
                <w:lang w:val="en-US" w:eastAsia="zh-CN" w:bidi="ar"/>
              </w:rPr>
              <w:br w:type="textWrapping"/>
            </w:r>
            <w:r>
              <w:rPr>
                <w:rStyle w:val="13"/>
                <w:rFonts w:hint="default" w:ascii="Times New Roman" w:hAnsi="Times New Roman" w:cs="Times New Roman"/>
                <w:color w:val="auto"/>
                <w:highlight w:val="none"/>
                <w:lang w:val="en-US" w:eastAsia="zh-CN" w:bidi="ar"/>
              </w:rPr>
              <w:t>按《广州市医疗保障局</w:t>
            </w:r>
            <w:r>
              <w:rPr>
                <w:rFonts w:hint="default" w:ascii="Times New Roman" w:hAnsi="Times New Roman" w:eastAsia="方正仿宋_GBK" w:cs="Times New Roman"/>
                <w:i w:val="0"/>
                <w:iCs w:val="0"/>
                <w:color w:val="auto"/>
                <w:kern w:val="0"/>
                <w:sz w:val="22"/>
                <w:szCs w:val="22"/>
                <w:highlight w:val="none"/>
                <w:u w:val="none"/>
                <w:lang w:val="en-US" w:eastAsia="zh-CN" w:bidi="ar"/>
              </w:rPr>
              <w:t xml:space="preserve"> </w:t>
            </w:r>
            <w:r>
              <w:rPr>
                <w:rStyle w:val="13"/>
                <w:rFonts w:hint="default" w:ascii="Times New Roman" w:hAnsi="Times New Roman" w:cs="Times New Roman"/>
                <w:color w:val="auto"/>
                <w:highlight w:val="none"/>
                <w:lang w:val="en-US" w:eastAsia="zh-CN" w:bidi="ar"/>
              </w:rPr>
              <w:t>广州市卫生健康委员会关于做好</w:t>
            </w:r>
            <w:r>
              <w:rPr>
                <w:rFonts w:hint="default" w:ascii="Times New Roman" w:hAnsi="Times New Roman" w:eastAsia="方正仿宋_GBK" w:cs="Times New Roman"/>
                <w:i w:val="0"/>
                <w:iCs w:val="0"/>
                <w:color w:val="auto"/>
                <w:kern w:val="0"/>
                <w:sz w:val="22"/>
                <w:szCs w:val="22"/>
                <w:highlight w:val="none"/>
                <w:u w:val="none"/>
                <w:lang w:val="en-US" w:eastAsia="zh-CN" w:bidi="ar"/>
              </w:rPr>
              <w:t>2024</w:t>
            </w:r>
            <w:r>
              <w:rPr>
                <w:rStyle w:val="13"/>
                <w:rFonts w:hint="default" w:ascii="Times New Roman" w:hAnsi="Times New Roman" w:cs="Times New Roman"/>
                <w:color w:val="auto"/>
                <w:highlight w:val="none"/>
                <w:lang w:val="en-US" w:eastAsia="zh-CN" w:bidi="ar"/>
              </w:rPr>
              <w:t>年国家医保谈判药品配备使用有关工作的通知》要求开展工作，本年度未受到市局通报的，得</w:t>
            </w:r>
            <w:r>
              <w:rPr>
                <w:rFonts w:hint="default" w:ascii="Times New Roman" w:hAnsi="Times New Roman" w:eastAsia="方正仿宋_GBK" w:cs="Times New Roman"/>
                <w:i w:val="0"/>
                <w:iCs w:val="0"/>
                <w:color w:val="auto"/>
                <w:kern w:val="0"/>
                <w:sz w:val="22"/>
                <w:szCs w:val="22"/>
                <w:highlight w:val="none"/>
                <w:u w:val="none"/>
                <w:lang w:val="en-US" w:eastAsia="zh-CN" w:bidi="ar"/>
              </w:rPr>
              <w:t>40</w:t>
            </w:r>
            <w:r>
              <w:rPr>
                <w:rStyle w:val="13"/>
                <w:rFonts w:hint="default" w:ascii="Times New Roman" w:hAnsi="Times New Roman" w:cs="Times New Roman"/>
                <w:color w:val="auto"/>
                <w:highlight w:val="none"/>
                <w:lang w:val="en-US" w:eastAsia="zh-CN" w:bidi="ar"/>
              </w:rPr>
              <w:t>分；本年度内受到市局通报的，每被通报一项得分递减</w:t>
            </w:r>
            <w:r>
              <w:rPr>
                <w:rFonts w:hint="default" w:ascii="Times New Roman" w:hAnsi="Times New Roman" w:eastAsia="方正仿宋_GBK" w:cs="Times New Roman"/>
                <w:i w:val="0"/>
                <w:iCs w:val="0"/>
                <w:color w:val="auto"/>
                <w:kern w:val="0"/>
                <w:sz w:val="22"/>
                <w:szCs w:val="22"/>
                <w:highlight w:val="none"/>
                <w:u w:val="none"/>
                <w:lang w:val="en-US" w:eastAsia="zh-CN" w:bidi="ar"/>
              </w:rPr>
              <w:t>10</w:t>
            </w:r>
            <w:r>
              <w:rPr>
                <w:rStyle w:val="13"/>
                <w:rFonts w:hint="default" w:ascii="Times New Roman" w:hAnsi="Times New Roman" w:cs="Times New Roman"/>
                <w:color w:val="auto"/>
                <w:highlight w:val="none"/>
                <w:lang w:val="en-US" w:eastAsia="zh-CN" w:bidi="ar"/>
              </w:rPr>
              <w:t>分（以本年度市医保局印发通知为准，通报项目累计计算，最低得</w:t>
            </w:r>
            <w:r>
              <w:rPr>
                <w:rFonts w:hint="default" w:ascii="Times New Roman" w:hAnsi="Times New Roman" w:eastAsia="方正仿宋_GBK" w:cs="Times New Roman"/>
                <w:i w:val="0"/>
                <w:iCs w:val="0"/>
                <w:color w:val="auto"/>
                <w:kern w:val="0"/>
                <w:sz w:val="22"/>
                <w:szCs w:val="22"/>
                <w:highlight w:val="none"/>
                <w:u w:val="none"/>
                <w:lang w:val="en-US" w:eastAsia="zh-CN" w:bidi="ar"/>
              </w:rPr>
              <w:t>0</w:t>
            </w:r>
            <w:r>
              <w:rPr>
                <w:rStyle w:val="13"/>
                <w:rFonts w:hint="default" w:ascii="Times New Roman" w:hAnsi="Times New Roman" w:cs="Times New Roman"/>
                <w:color w:val="auto"/>
                <w:highlight w:val="none"/>
                <w:lang w:val="en-US" w:eastAsia="zh-CN" w:bidi="ar"/>
              </w:rPr>
              <w:t>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auto"/>
                <w:sz w:val="22"/>
                <w:szCs w:val="22"/>
                <w:highlight w:val="none"/>
                <w:u w:val="none"/>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14" w:hRule="atLeast"/>
          <w:jc w:val="center"/>
        </w:trPr>
        <w:tc>
          <w:tcPr>
            <w:tcW w:w="409"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color w:val="auto"/>
                <w:sz w:val="22"/>
                <w:szCs w:val="22"/>
                <w:highlight w:val="none"/>
                <w:u w:val="none"/>
                <w:lang w:eastAsia="zh-CN"/>
              </w:rPr>
            </w:pPr>
          </w:p>
        </w:tc>
        <w:tc>
          <w:tcPr>
            <w:tcW w:w="3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kern w:val="2"/>
                <w:sz w:val="22"/>
                <w:szCs w:val="22"/>
                <w:highlight w:val="none"/>
                <w:u w:val="none"/>
                <w:lang w:val="en-US" w:eastAsia="zh-CN" w:bidi="ar-SA"/>
              </w:rPr>
            </w:pPr>
            <w:r>
              <w:rPr>
                <w:rFonts w:hint="default" w:ascii="Times New Roman" w:hAnsi="Times New Roman" w:eastAsia="方正仿宋_GBK" w:cs="Times New Roman"/>
                <w:i w:val="0"/>
                <w:color w:val="auto"/>
                <w:sz w:val="22"/>
                <w:szCs w:val="22"/>
                <w:highlight w:val="none"/>
                <w:u w:val="none"/>
                <w:lang w:val="en-US" w:eastAsia="zh-CN"/>
              </w:rPr>
              <w:t>30</w:t>
            </w:r>
          </w:p>
        </w:tc>
        <w:tc>
          <w:tcPr>
            <w:tcW w:w="41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方正仿宋_GBK" w:cs="Times New Roman"/>
                <w:i w:val="0"/>
                <w:color w:val="auto"/>
                <w:kern w:val="2"/>
                <w:sz w:val="22"/>
                <w:szCs w:val="22"/>
                <w:highlight w:val="none"/>
                <w:u w:val="none"/>
                <w:lang w:val="en-US" w:eastAsia="zh-CN" w:bidi="ar-SA"/>
              </w:rPr>
            </w:pPr>
            <w:r>
              <w:rPr>
                <w:rFonts w:hint="default" w:ascii="Times New Roman" w:hAnsi="Times New Roman" w:eastAsia="方正仿宋_GBK" w:cs="Times New Roman"/>
                <w:i w:val="0"/>
                <w:color w:val="auto"/>
                <w:sz w:val="22"/>
                <w:szCs w:val="22"/>
                <w:highlight w:val="none"/>
                <w:u w:val="none"/>
                <w:lang w:eastAsia="zh-CN"/>
              </w:rPr>
              <w:t>双通道业务</w:t>
            </w:r>
          </w:p>
        </w:tc>
        <w:tc>
          <w:tcPr>
            <w:tcW w:w="34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kern w:val="2"/>
                <w:sz w:val="22"/>
                <w:szCs w:val="22"/>
                <w:highlight w:val="none"/>
                <w:u w:val="none"/>
                <w:lang w:val="en-US" w:eastAsia="zh-CN" w:bidi="ar-SA"/>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Style w:val="13"/>
                <w:rFonts w:hint="default" w:ascii="Times New Roman" w:hAnsi="Times New Roman" w:cs="Times New Roman"/>
                <w:color w:val="auto"/>
                <w:highlight w:val="none"/>
                <w:lang w:val="en-US" w:eastAsia="zh-CN" w:bidi="ar"/>
              </w:rPr>
              <w:t>本项最高得</w:t>
            </w:r>
            <w:r>
              <w:rPr>
                <w:rFonts w:hint="default" w:ascii="Times New Roman" w:hAnsi="Times New Roman" w:eastAsia="方正仿宋_GBK" w:cs="Times New Roman"/>
                <w:i w:val="0"/>
                <w:iCs w:val="0"/>
                <w:color w:val="auto"/>
                <w:kern w:val="0"/>
                <w:sz w:val="22"/>
                <w:szCs w:val="22"/>
                <w:highlight w:val="none"/>
                <w:u w:val="none"/>
                <w:lang w:val="en-US" w:eastAsia="zh-CN" w:bidi="ar"/>
              </w:rPr>
              <w:t>10</w:t>
            </w:r>
            <w:r>
              <w:rPr>
                <w:rStyle w:val="13"/>
                <w:rFonts w:hint="default" w:ascii="Times New Roman" w:hAnsi="Times New Roman" w:cs="Times New Roman"/>
                <w:color w:val="auto"/>
                <w:highlight w:val="none"/>
                <w:lang w:val="en-US" w:eastAsia="zh-CN" w:bidi="ar"/>
              </w:rPr>
              <w:t>分。已签订</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双通道</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补充协议且本年度发生有效市直医保</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双通道</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业务，得</w:t>
            </w:r>
            <w:r>
              <w:rPr>
                <w:rFonts w:hint="default" w:ascii="Times New Roman" w:hAnsi="Times New Roman" w:eastAsia="方正仿宋_GBK" w:cs="Times New Roman"/>
                <w:i w:val="0"/>
                <w:iCs w:val="0"/>
                <w:color w:val="auto"/>
                <w:kern w:val="0"/>
                <w:sz w:val="22"/>
                <w:szCs w:val="22"/>
                <w:highlight w:val="none"/>
                <w:u w:val="none"/>
                <w:lang w:val="en-US" w:eastAsia="zh-CN" w:bidi="ar"/>
              </w:rPr>
              <w:t>10</w:t>
            </w:r>
            <w:r>
              <w:rPr>
                <w:rStyle w:val="13"/>
                <w:rFonts w:hint="default" w:ascii="Times New Roman" w:hAnsi="Times New Roman" w:cs="Times New Roman"/>
                <w:color w:val="auto"/>
                <w:highlight w:val="none"/>
                <w:lang w:val="en-US" w:eastAsia="zh-CN" w:bidi="ar"/>
              </w:rPr>
              <w:t>分；</w:t>
            </w:r>
            <w:r>
              <w:rPr>
                <w:rFonts w:hint="default" w:ascii="Times New Roman" w:hAnsi="Times New Roman" w:eastAsia="方正仿宋_GBK" w:cs="Times New Roman"/>
                <w:i w:val="0"/>
                <w:iCs w:val="0"/>
                <w:color w:val="auto"/>
                <w:kern w:val="0"/>
                <w:sz w:val="22"/>
                <w:szCs w:val="22"/>
                <w:highlight w:val="none"/>
                <w:u w:val="none"/>
                <w:lang w:val="en-US" w:eastAsia="zh-CN" w:bidi="ar"/>
              </w:rPr>
              <w:t>2024</w:t>
            </w:r>
            <w:r>
              <w:rPr>
                <w:rStyle w:val="13"/>
                <w:rFonts w:hint="default" w:ascii="Times New Roman" w:hAnsi="Times New Roman" w:cs="Times New Roman"/>
                <w:color w:val="auto"/>
                <w:highlight w:val="none"/>
                <w:lang w:val="en-US" w:eastAsia="zh-CN" w:bidi="ar"/>
              </w:rPr>
              <w:t>年新增签订</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双通道</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补充协议但未发生市直医保有效</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双通道</w:t>
            </w:r>
            <w:r>
              <w:rPr>
                <w:rFonts w:hint="default" w:ascii="Times New Roman" w:hAnsi="Times New Roman" w:eastAsia="方正仿宋_GBK" w:cs="Times New Roman"/>
                <w:i w:val="0"/>
                <w:iCs w:val="0"/>
                <w:color w:val="auto"/>
                <w:kern w:val="0"/>
                <w:sz w:val="22"/>
                <w:szCs w:val="22"/>
                <w:highlight w:val="none"/>
                <w:u w:val="none"/>
                <w:lang w:val="en-US" w:eastAsia="zh-CN" w:bidi="ar"/>
              </w:rPr>
              <w:t>”</w:t>
            </w:r>
            <w:r>
              <w:rPr>
                <w:rStyle w:val="13"/>
                <w:rFonts w:hint="default" w:ascii="Times New Roman" w:hAnsi="Times New Roman" w:cs="Times New Roman"/>
                <w:color w:val="auto"/>
                <w:highlight w:val="none"/>
                <w:lang w:val="en-US" w:eastAsia="zh-CN" w:bidi="ar"/>
              </w:rPr>
              <w:t>业务，得</w:t>
            </w:r>
            <w:r>
              <w:rPr>
                <w:rFonts w:hint="default" w:ascii="Times New Roman" w:hAnsi="Times New Roman" w:eastAsia="方正仿宋_GBK" w:cs="Times New Roman"/>
                <w:i w:val="0"/>
                <w:iCs w:val="0"/>
                <w:color w:val="auto"/>
                <w:kern w:val="0"/>
                <w:sz w:val="22"/>
                <w:szCs w:val="22"/>
                <w:highlight w:val="none"/>
                <w:u w:val="none"/>
                <w:lang w:val="en-US" w:eastAsia="zh-CN" w:bidi="ar"/>
              </w:rPr>
              <w:t>4</w:t>
            </w:r>
            <w:r>
              <w:rPr>
                <w:rStyle w:val="13"/>
                <w:rFonts w:hint="default" w:ascii="Times New Roman" w:hAnsi="Times New Roman" w:cs="Times New Roman"/>
                <w:color w:val="auto"/>
                <w:highlight w:val="none"/>
                <w:lang w:val="en-US" w:eastAsia="zh-CN" w:bidi="ar"/>
              </w:rPr>
              <w:t>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auto"/>
                <w:sz w:val="22"/>
                <w:szCs w:val="22"/>
                <w:highlight w:val="none"/>
                <w:u w:val="none"/>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10" w:hRule="atLeast"/>
          <w:jc w:val="center"/>
        </w:trPr>
        <w:tc>
          <w:tcPr>
            <w:tcW w:w="409"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b/>
                <w:bCs/>
                <w:i w:val="0"/>
                <w:color w:val="auto"/>
                <w:sz w:val="22"/>
                <w:szCs w:val="22"/>
                <w:highlight w:val="none"/>
                <w:u w:val="none"/>
                <w:lang w:eastAsia="zh-CN"/>
              </w:rPr>
            </w:pPr>
          </w:p>
        </w:tc>
        <w:tc>
          <w:tcPr>
            <w:tcW w:w="3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sz w:val="22"/>
                <w:szCs w:val="22"/>
                <w:highlight w:val="none"/>
                <w:u w:val="none"/>
                <w:lang w:val="en-US" w:eastAsia="zh-CN"/>
              </w:rPr>
            </w:pPr>
            <w:r>
              <w:rPr>
                <w:rFonts w:hint="default" w:ascii="Times New Roman" w:hAnsi="Times New Roman" w:eastAsia="方正仿宋_GBK" w:cs="Times New Roman"/>
                <w:i w:val="0"/>
                <w:color w:val="auto"/>
                <w:sz w:val="22"/>
                <w:szCs w:val="22"/>
                <w:highlight w:val="none"/>
                <w:u w:val="none"/>
                <w:lang w:val="en-US" w:eastAsia="zh-CN"/>
              </w:rPr>
              <w:t>31</w:t>
            </w:r>
          </w:p>
        </w:tc>
        <w:tc>
          <w:tcPr>
            <w:tcW w:w="41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方正仿宋_GBK" w:cs="Times New Roman"/>
                <w:i w:val="0"/>
                <w:color w:val="auto"/>
                <w:sz w:val="22"/>
                <w:szCs w:val="22"/>
                <w:highlight w:val="none"/>
                <w:u w:val="none"/>
                <w:lang w:eastAsia="zh-CN"/>
              </w:rPr>
            </w:pPr>
            <w:r>
              <w:rPr>
                <w:rFonts w:hint="default" w:ascii="Times New Roman" w:hAnsi="Times New Roman" w:eastAsia="方正仿宋_GBK" w:cs="Times New Roman"/>
                <w:i w:val="0"/>
                <w:color w:val="auto"/>
                <w:sz w:val="22"/>
                <w:szCs w:val="22"/>
                <w:highlight w:val="none"/>
                <w:u w:val="none"/>
                <w:lang w:eastAsia="zh-CN"/>
              </w:rPr>
              <w:t>就医登记管理</w:t>
            </w:r>
          </w:p>
        </w:tc>
        <w:tc>
          <w:tcPr>
            <w:tcW w:w="34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kern w:val="2"/>
                <w:sz w:val="22"/>
                <w:szCs w:val="22"/>
                <w:highlight w:val="none"/>
                <w:u w:val="none"/>
                <w:lang w:val="en-US" w:eastAsia="zh-CN" w:bidi="ar-SA"/>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Style w:val="13"/>
                <w:rFonts w:hint="default" w:ascii="Times New Roman" w:hAnsi="Times New Roman" w:cs="Times New Roman"/>
                <w:color w:val="auto"/>
                <w:highlight w:val="none"/>
                <w:lang w:val="en-US" w:eastAsia="zh-CN" w:bidi="ar"/>
              </w:rPr>
            </w:pPr>
            <w:r>
              <w:rPr>
                <w:rStyle w:val="13"/>
                <w:rFonts w:hint="default" w:ascii="Times New Roman" w:hAnsi="Times New Roman" w:cs="Times New Roman"/>
                <w:color w:val="auto"/>
                <w:highlight w:val="none"/>
                <w:lang w:val="en-US" w:eastAsia="zh-CN" w:bidi="ar"/>
              </w:rPr>
              <w:t>本项最高得30分。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Style w:val="13"/>
                <w:rFonts w:hint="default" w:ascii="Times New Roman" w:hAnsi="Times New Roman" w:cs="Times New Roman"/>
                <w:color w:val="auto"/>
                <w:highlight w:val="none"/>
                <w:lang w:val="en-US" w:eastAsia="zh-CN" w:bidi="ar"/>
              </w:rPr>
            </w:pPr>
            <w:r>
              <w:rPr>
                <w:rStyle w:val="13"/>
                <w:rFonts w:hint="default" w:ascii="Times New Roman" w:hAnsi="Times New Roman" w:cs="Times New Roman"/>
                <w:color w:val="auto"/>
                <w:sz w:val="22"/>
                <w:szCs w:val="22"/>
                <w:highlight w:val="none"/>
                <w:lang w:val="en-US" w:eastAsia="zh-CN" w:bidi="ar"/>
              </w:rPr>
              <w:t>①</w:t>
            </w:r>
            <w:r>
              <w:rPr>
                <w:rStyle w:val="13"/>
                <w:rFonts w:hint="default" w:ascii="Times New Roman" w:hAnsi="Times New Roman" w:cs="Times New Roman"/>
                <w:color w:val="auto"/>
                <w:highlight w:val="none"/>
                <w:lang w:val="en-US" w:eastAsia="zh-CN" w:bidi="ar"/>
              </w:rPr>
              <w:t>市直医保门诊业务，持市直医保就医凭证门诊就医占比</w:t>
            </w:r>
            <w:r>
              <w:rPr>
                <w:rStyle w:val="13"/>
                <w:rFonts w:hint="default" w:ascii="Times New Roman" w:hAnsi="Times New Roman" w:eastAsia="方正书宋_GBK" w:cs="Times New Roman"/>
                <w:color w:val="auto"/>
                <w:highlight w:val="none"/>
                <w:lang w:val="en-US" w:eastAsia="zh-CN" w:bidi="ar"/>
              </w:rPr>
              <w:t>≥</w:t>
            </w:r>
            <w:r>
              <w:rPr>
                <w:rStyle w:val="13"/>
                <w:rFonts w:hint="default" w:ascii="Times New Roman" w:hAnsi="Times New Roman" w:cs="Times New Roman"/>
                <w:color w:val="auto"/>
                <w:highlight w:val="none"/>
                <w:lang w:val="en-US" w:eastAsia="zh-CN" w:bidi="ar"/>
              </w:rPr>
              <w:t>95%的，得30分；</w:t>
            </w:r>
            <w:r>
              <w:rPr>
                <w:rFonts w:hint="default" w:ascii="Times New Roman" w:hAnsi="Times New Roman" w:eastAsia="方正仿宋_GBK" w:cs="Times New Roman"/>
                <w:i w:val="0"/>
                <w:color w:val="auto"/>
                <w:kern w:val="0"/>
                <w:sz w:val="22"/>
                <w:szCs w:val="22"/>
                <w:highlight w:val="none"/>
                <w:u w:val="none"/>
                <w:lang w:val="en-US" w:eastAsia="zh-CN" w:bidi="ar"/>
              </w:rPr>
              <w:t>90%</w:t>
            </w:r>
            <w:r>
              <w:rPr>
                <w:rFonts w:hint="default" w:ascii="Times New Roman" w:hAnsi="Times New Roman" w:eastAsia="方正书宋_GBK" w:cs="Times New Roman"/>
                <w:i w:val="0"/>
                <w:color w:val="auto"/>
                <w:kern w:val="0"/>
                <w:sz w:val="22"/>
                <w:szCs w:val="22"/>
                <w:highlight w:val="none"/>
                <w:u w:val="none"/>
                <w:lang w:val="en-US" w:eastAsia="zh-CN" w:bidi="ar"/>
              </w:rPr>
              <w:t>≤</w:t>
            </w:r>
            <w:r>
              <w:rPr>
                <w:rFonts w:hint="default" w:ascii="Times New Roman" w:hAnsi="Times New Roman" w:eastAsia="方正仿宋_GBK" w:cs="Times New Roman"/>
                <w:i w:val="0"/>
                <w:color w:val="auto"/>
                <w:kern w:val="0"/>
                <w:sz w:val="22"/>
                <w:szCs w:val="22"/>
                <w:highlight w:val="none"/>
                <w:u w:val="none"/>
                <w:lang w:val="en-US" w:eastAsia="zh-CN" w:bidi="ar"/>
              </w:rPr>
              <w:t>占比&lt;95%，得25分；85%</w:t>
            </w:r>
            <w:r>
              <w:rPr>
                <w:rFonts w:hint="default" w:ascii="Times New Roman" w:hAnsi="Times New Roman" w:eastAsia="方正书宋_GBK" w:cs="Times New Roman"/>
                <w:i w:val="0"/>
                <w:color w:val="auto"/>
                <w:kern w:val="0"/>
                <w:sz w:val="22"/>
                <w:szCs w:val="22"/>
                <w:highlight w:val="none"/>
                <w:u w:val="none"/>
                <w:lang w:val="en-US" w:eastAsia="zh-CN" w:bidi="ar"/>
              </w:rPr>
              <w:t>≤</w:t>
            </w:r>
            <w:r>
              <w:rPr>
                <w:rFonts w:hint="default" w:ascii="Times New Roman" w:hAnsi="Times New Roman" w:eastAsia="方正仿宋_GBK" w:cs="Times New Roman"/>
                <w:i w:val="0"/>
                <w:color w:val="auto"/>
                <w:kern w:val="0"/>
                <w:sz w:val="22"/>
                <w:szCs w:val="22"/>
                <w:highlight w:val="none"/>
                <w:u w:val="none"/>
                <w:lang w:val="en-US" w:eastAsia="zh-CN" w:bidi="ar"/>
              </w:rPr>
              <w:t>占比&lt;90%，得20分；依次类推，占比&lt;70%，不得分</w:t>
            </w:r>
            <w:r>
              <w:rPr>
                <w:rStyle w:val="13"/>
                <w:rFonts w:hint="default" w:ascii="Times New Roman" w:hAnsi="Times New Roman" w:cs="Times New Roman"/>
                <w:color w:val="auto"/>
                <w:highlight w:val="none"/>
                <w:lang w:val="en-US" w:eastAsia="zh-CN" w:bidi="ar"/>
              </w:rPr>
              <w:t>（占比=持市直医保就医凭证门诊就医人次/市直医保门诊就医人次×100%）。其中，开展住院业务的定点医疗机构，此项得分系数为0.5。</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Style w:val="13"/>
                <w:rFonts w:hint="default" w:ascii="Times New Roman" w:hAnsi="Times New Roman" w:cs="Times New Roman"/>
                <w:color w:val="auto"/>
                <w:highlight w:val="none"/>
                <w:lang w:val="en-US" w:eastAsia="zh-CN" w:bidi="ar"/>
              </w:rPr>
            </w:pPr>
            <w:r>
              <w:rPr>
                <w:rStyle w:val="13"/>
                <w:rFonts w:hint="default" w:ascii="Times New Roman" w:hAnsi="Times New Roman" w:cs="Times New Roman"/>
                <w:color w:val="auto"/>
                <w:sz w:val="22"/>
                <w:szCs w:val="22"/>
                <w:highlight w:val="none"/>
                <w:lang w:val="en-US" w:eastAsia="zh-CN" w:bidi="ar"/>
              </w:rPr>
              <w:t>②市直医保住院业务，持市直医保就医凭证住院占比100%的，得15分；占比低于100%的，不得分</w:t>
            </w:r>
            <w:r>
              <w:rPr>
                <w:rStyle w:val="13"/>
                <w:rFonts w:hint="default" w:ascii="Times New Roman" w:hAnsi="Times New Roman" w:cs="Times New Roman"/>
                <w:color w:val="auto"/>
                <w:highlight w:val="none"/>
                <w:lang w:val="en-US" w:eastAsia="zh-CN" w:bidi="ar"/>
              </w:rPr>
              <w:t>（占比=持市直医保就医凭证住院人次/市直医保住院人次×100%）。其中，新生儿、严重精神病等住院人次不纳入统计范围。</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auto"/>
                <w:sz w:val="22"/>
                <w:szCs w:val="22"/>
                <w:highlight w:val="none"/>
                <w:u w:val="none"/>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10" w:hRule="atLeast"/>
          <w:jc w:val="center"/>
        </w:trPr>
        <w:tc>
          <w:tcPr>
            <w:tcW w:w="409" w:type="pct"/>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lang w:eastAsia="zh-CN"/>
              </w:rPr>
            </w:pPr>
            <w:r>
              <w:rPr>
                <w:rFonts w:hint="default" w:ascii="Times New Roman" w:hAnsi="Times New Roman" w:eastAsia="方正仿宋_GBK" w:cs="Times New Roman"/>
                <w:b/>
                <w:bCs/>
                <w:i w:val="0"/>
                <w:iCs w:val="0"/>
                <w:color w:val="auto"/>
                <w:sz w:val="22"/>
                <w:szCs w:val="22"/>
                <w:highlight w:val="none"/>
                <w:u w:val="none"/>
                <w:lang w:eastAsia="zh-CN"/>
              </w:rPr>
              <w:t>其它</w:t>
            </w: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2"/>
                <w:sz w:val="22"/>
                <w:szCs w:val="22"/>
                <w:highlight w:val="none"/>
                <w:u w:val="none"/>
                <w:lang w:val="en-US" w:eastAsia="zh-CN" w:bidi="ar-SA"/>
              </w:rPr>
            </w:pPr>
            <w:r>
              <w:rPr>
                <w:rFonts w:hint="default" w:ascii="Times New Roman" w:hAnsi="Times New Roman" w:eastAsia="宋体" w:cs="Times New Roman"/>
                <w:i w:val="0"/>
                <w:iCs w:val="0"/>
                <w:color w:val="auto"/>
                <w:kern w:val="0"/>
                <w:sz w:val="22"/>
                <w:szCs w:val="22"/>
                <w:highlight w:val="none"/>
                <w:u w:val="none"/>
                <w:lang w:val="en-US" w:eastAsia="zh-CN" w:bidi="ar"/>
              </w:rPr>
              <w:t>3</w:t>
            </w:r>
            <w:r>
              <w:rPr>
                <w:rFonts w:hint="default" w:ascii="Times New Roman" w:hAnsi="Times New Roman" w:cs="Times New Roman"/>
                <w:i w:val="0"/>
                <w:iCs w:val="0"/>
                <w:color w:val="auto"/>
                <w:kern w:val="0"/>
                <w:sz w:val="22"/>
                <w:szCs w:val="22"/>
                <w:highlight w:val="none"/>
                <w:u w:val="none"/>
                <w:lang w:val="en-US" w:eastAsia="zh-CN" w:bidi="ar"/>
              </w:rPr>
              <w:t>2</w:t>
            </w:r>
          </w:p>
        </w:tc>
        <w:tc>
          <w:tcPr>
            <w:tcW w:w="410" w:type="pct"/>
            <w:tcBorders>
              <w:tl2br w:val="nil"/>
              <w:tr2bl w:val="nil"/>
            </w:tcBorders>
            <w:noWrap w:val="0"/>
            <w:vAlign w:val="center"/>
          </w:tcPr>
          <w:p>
            <w:pPr>
              <w:widowControl/>
              <w:spacing w:line="300" w:lineRule="exact"/>
              <w:jc w:val="center"/>
              <w:textAlignment w:val="center"/>
              <w:rPr>
                <w:rFonts w:hint="default" w:ascii="Times New Roman" w:hAnsi="Times New Roman" w:eastAsia="方正仿宋_GBK" w:cs="Times New Roman"/>
                <w:color w:val="auto"/>
                <w:kern w:val="2"/>
                <w:sz w:val="22"/>
                <w:szCs w:val="22"/>
                <w:highlight w:val="none"/>
                <w:lang w:val="en-US" w:eastAsia="zh-CN" w:bidi="ar-SA"/>
              </w:rPr>
            </w:pPr>
            <w:r>
              <w:rPr>
                <w:rFonts w:hint="default" w:ascii="Times New Roman" w:hAnsi="Times New Roman" w:eastAsia="方正仿宋_GBK" w:cs="Times New Roman"/>
                <w:color w:val="auto"/>
                <w:kern w:val="0"/>
                <w:sz w:val="22"/>
                <w:szCs w:val="22"/>
                <w:highlight w:val="none"/>
                <w:lang w:bidi="ar"/>
              </w:rPr>
              <w:t>就医信用无感支付</w:t>
            </w:r>
          </w:p>
        </w:tc>
        <w:tc>
          <w:tcPr>
            <w:tcW w:w="349" w:type="pct"/>
            <w:tcBorders>
              <w:tl2br w:val="nil"/>
              <w:tr2bl w:val="nil"/>
            </w:tcBorders>
            <w:noWrap w:val="0"/>
            <w:vAlign w:val="center"/>
          </w:tcPr>
          <w:p>
            <w:pPr>
              <w:widowControl/>
              <w:spacing w:line="300" w:lineRule="exact"/>
              <w:jc w:val="center"/>
              <w:textAlignment w:val="center"/>
              <w:rPr>
                <w:rFonts w:hint="default" w:ascii="Times New Roman" w:hAnsi="Times New Roman" w:eastAsia="方正仿宋_GBK" w:cs="Times New Roman"/>
                <w:color w:val="auto"/>
                <w:kern w:val="0"/>
                <w:sz w:val="22"/>
                <w:szCs w:val="22"/>
                <w:highlight w:val="none"/>
                <w:lang w:bidi="ar"/>
              </w:rPr>
            </w:pPr>
            <w:r>
              <w:rPr>
                <w:rFonts w:hint="default" w:ascii="Times New Roman" w:hAnsi="Times New Roman" w:eastAsia="方正仿宋_GBK" w:cs="Times New Roman"/>
                <w:color w:val="auto"/>
                <w:kern w:val="0"/>
                <w:sz w:val="22"/>
                <w:szCs w:val="22"/>
                <w:highlight w:val="none"/>
                <w:lang w:bidi="ar"/>
              </w:rPr>
              <w:t>现场考核</w:t>
            </w:r>
          </w:p>
          <w:p>
            <w:pPr>
              <w:widowControl/>
              <w:spacing w:line="300" w:lineRule="exact"/>
              <w:jc w:val="center"/>
              <w:textAlignment w:val="center"/>
              <w:rPr>
                <w:rFonts w:hint="default" w:ascii="Times New Roman" w:hAnsi="Times New Roman" w:eastAsia="方正仿宋_GBK" w:cs="Times New Roman"/>
                <w:color w:val="auto"/>
                <w:kern w:val="0"/>
                <w:sz w:val="22"/>
                <w:szCs w:val="22"/>
                <w:highlight w:val="none"/>
                <w:lang w:bidi="ar"/>
              </w:rPr>
            </w:pPr>
            <w:r>
              <w:rPr>
                <w:rFonts w:hint="default" w:ascii="Times New Roman" w:hAnsi="Times New Roman" w:eastAsia="方正仿宋_GBK" w:cs="Times New Roman"/>
                <w:color w:val="auto"/>
                <w:kern w:val="0"/>
                <w:sz w:val="22"/>
                <w:szCs w:val="22"/>
                <w:highlight w:val="none"/>
                <w:lang w:bidi="ar"/>
              </w:rPr>
              <w:t>——</w:t>
            </w:r>
          </w:p>
          <w:p>
            <w:pPr>
              <w:widowControl/>
              <w:spacing w:line="300" w:lineRule="exact"/>
              <w:jc w:val="center"/>
              <w:textAlignment w:val="center"/>
              <w:rPr>
                <w:rFonts w:hint="default" w:ascii="Times New Roman" w:hAnsi="Times New Roman" w:eastAsia="方正仿宋_GBK" w:cs="Times New Roman"/>
                <w:color w:val="auto"/>
                <w:kern w:val="2"/>
                <w:sz w:val="22"/>
                <w:szCs w:val="22"/>
                <w:highlight w:val="none"/>
                <w:lang w:val="en-US" w:eastAsia="zh-CN" w:bidi="ar-SA"/>
              </w:rPr>
            </w:pPr>
            <w:r>
              <w:rPr>
                <w:rFonts w:hint="default" w:ascii="Times New Roman" w:hAnsi="Times New Roman" w:eastAsia="方正仿宋_GBK" w:cs="Times New Roman"/>
                <w:color w:val="auto"/>
                <w:kern w:val="0"/>
                <w:sz w:val="22"/>
                <w:szCs w:val="22"/>
                <w:highlight w:val="none"/>
                <w:lang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Style w:val="13"/>
                <w:rFonts w:hint="default" w:ascii="Times New Roman" w:hAnsi="Times New Roman" w:cs="Times New Roman"/>
                <w:color w:val="auto"/>
                <w:sz w:val="22"/>
                <w:szCs w:val="22"/>
                <w:highlight w:val="none"/>
                <w:lang w:val="en-US" w:eastAsia="zh-CN" w:bidi="ar"/>
              </w:rPr>
            </w:pPr>
            <w:r>
              <w:rPr>
                <w:rFonts w:hint="default" w:ascii="Times New Roman" w:hAnsi="Times New Roman" w:eastAsia="方正仿宋_GBK" w:cs="Times New Roman"/>
                <w:i w:val="0"/>
                <w:iCs w:val="0"/>
                <w:color w:val="auto"/>
                <w:kern w:val="0"/>
                <w:sz w:val="22"/>
                <w:szCs w:val="22"/>
                <w:highlight w:val="none"/>
                <w:u w:val="none"/>
                <w:lang w:val="en-US" w:eastAsia="zh-CN" w:bidi="ar"/>
              </w:rPr>
              <w:t>本项最高加25</w:t>
            </w:r>
            <w:r>
              <w:rPr>
                <w:rStyle w:val="13"/>
                <w:rFonts w:hint="default" w:ascii="Times New Roman" w:hAnsi="Times New Roman" w:cs="Times New Roman"/>
                <w:color w:val="auto"/>
                <w:sz w:val="22"/>
                <w:szCs w:val="22"/>
                <w:highlight w:val="none"/>
                <w:lang w:val="en-US" w:eastAsia="zh-CN" w:bidi="ar"/>
              </w:rPr>
              <w:t>分。</w:t>
            </w:r>
            <w:r>
              <w:rPr>
                <w:rFonts w:hint="default" w:ascii="Times New Roman" w:hAnsi="Times New Roman" w:eastAsia="方正仿宋_GBK" w:cs="Times New Roman"/>
                <w:i w:val="0"/>
                <w:iCs w:val="0"/>
                <w:color w:val="auto"/>
                <w:kern w:val="0"/>
                <w:sz w:val="22"/>
                <w:szCs w:val="22"/>
                <w:highlight w:val="none"/>
                <w:u w:val="none"/>
                <w:lang w:val="en-US" w:eastAsia="zh-CN" w:bidi="ar"/>
              </w:rPr>
              <w:br w:type="textWrapping"/>
            </w:r>
            <w:r>
              <w:rPr>
                <w:rStyle w:val="13"/>
                <w:rFonts w:hint="default" w:ascii="Times New Roman" w:hAnsi="Times New Roman" w:cs="Times New Roman"/>
                <w:color w:val="auto"/>
                <w:sz w:val="22"/>
                <w:szCs w:val="22"/>
                <w:highlight w:val="none"/>
                <w:lang w:val="en-US" w:eastAsia="zh-CN" w:bidi="ar"/>
              </w:rPr>
              <w:t>①报名参与市直医保就医信用无感支付工作的，加0.5分；②面向市直医保参保人员，完成普通门诊、一类门特、二类门特、住院待遇类型功能上线工作的，每上线1个待遇类型加1.5分，最高加6分。按时上线的再加1分；③功能上线后，在门诊大屏、侯诊区、收费窗口等滚动屏播放宣传文案的，依次加</w:t>
            </w:r>
            <w:r>
              <w:rPr>
                <w:rFonts w:hint="default" w:ascii="Times New Roman" w:hAnsi="Times New Roman" w:eastAsia="方正仿宋_GBK" w:cs="Times New Roman"/>
                <w:color w:val="auto"/>
                <w:kern w:val="0"/>
                <w:sz w:val="22"/>
                <w:szCs w:val="22"/>
                <w:highlight w:val="none"/>
                <w:lang w:bidi="ar"/>
              </w:rPr>
              <w:t>0.5分、0.5分、0.5分</w:t>
            </w:r>
            <w:r>
              <w:rPr>
                <w:rStyle w:val="13"/>
                <w:rFonts w:hint="default" w:ascii="Times New Roman" w:hAnsi="Times New Roman" w:cs="Times New Roman"/>
                <w:color w:val="auto"/>
                <w:sz w:val="22"/>
                <w:szCs w:val="22"/>
                <w:highlight w:val="none"/>
                <w:lang w:val="en-US" w:eastAsia="zh-CN" w:bidi="ar"/>
              </w:rPr>
              <w:t>；在引导台、收费窗口等位置设置固定动员、指引岗位的，</w:t>
            </w:r>
            <w:r>
              <w:rPr>
                <w:rFonts w:hint="default" w:ascii="Times New Roman" w:hAnsi="Times New Roman" w:eastAsia="方正仿宋_GBK" w:cs="Times New Roman"/>
                <w:color w:val="auto"/>
                <w:kern w:val="0"/>
                <w:sz w:val="22"/>
                <w:szCs w:val="22"/>
                <w:highlight w:val="none"/>
                <w:lang w:bidi="ar"/>
              </w:rPr>
              <w:t>加0.5分</w:t>
            </w:r>
            <w:r>
              <w:rPr>
                <w:rStyle w:val="13"/>
                <w:rFonts w:hint="default" w:ascii="Times New Roman" w:hAnsi="Times New Roman" w:cs="Times New Roman"/>
                <w:color w:val="auto"/>
                <w:sz w:val="22"/>
                <w:szCs w:val="22"/>
                <w:highlight w:val="none"/>
                <w:lang w:val="en-US" w:eastAsia="zh-CN" w:bidi="ar"/>
              </w:rPr>
              <w:t>；定期安排工作人员进行现场推广、派发宣传资料的，</w:t>
            </w:r>
            <w:r>
              <w:rPr>
                <w:rFonts w:hint="default" w:ascii="Times New Roman" w:hAnsi="Times New Roman" w:eastAsia="方正仿宋_GBK" w:cs="Times New Roman"/>
                <w:color w:val="auto"/>
                <w:kern w:val="0"/>
                <w:sz w:val="22"/>
                <w:szCs w:val="22"/>
                <w:highlight w:val="none"/>
                <w:lang w:bidi="ar"/>
              </w:rPr>
              <w:t>加0.5分</w:t>
            </w:r>
            <w:r>
              <w:rPr>
                <w:rStyle w:val="13"/>
                <w:rFonts w:hint="default" w:ascii="Times New Roman" w:hAnsi="Times New Roman" w:cs="Times New Roman"/>
                <w:color w:val="auto"/>
                <w:sz w:val="22"/>
                <w:szCs w:val="22"/>
                <w:highlight w:val="none"/>
                <w:lang w:val="en-US" w:eastAsia="zh-CN" w:bidi="ar"/>
              </w:rPr>
              <w:t>；④本院2024年度市直医保签约推广人数占本院2024年度市直医保结算人次3%（含，下同）以上的，加5分，每增加1%，多加1分，最高加7分；⑤ 本院2024年度市直医保交易人次占本院2024年度市直医保结算人次2%以上的加分，其中在已上线服务的全市市直医保定点医疗机构范围内排名前10%（含），加8分；排名前10%（不含，下同）至20%（含，下同），加7分；排名前20%至30%，加6分；排名前30%至40%，加5分；排名前40%至50%，加4分；排名前50%至60%，加3分；排名前60%至末尾，加2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Style w:val="13"/>
                <w:rFonts w:hint="default" w:ascii="Times New Roman" w:hAnsi="Times New Roman" w:cs="Times New Roman"/>
                <w:color w:val="auto"/>
                <w:sz w:val="22"/>
                <w:szCs w:val="22"/>
                <w:highlight w:val="none"/>
                <w:lang w:val="en-US" w:eastAsia="zh-CN" w:bidi="ar"/>
              </w:rPr>
              <w:t>交易人次统计区间为2024年1月至2024年12月。</w:t>
            </w:r>
            <w:r>
              <w:rPr>
                <w:rStyle w:val="13"/>
                <w:rFonts w:hint="default" w:ascii="Times New Roman" w:hAnsi="Times New Roman" w:cs="Times New Roman"/>
                <w:color w:val="auto"/>
                <w:highlight w:val="none"/>
                <w:lang w:val="en-US" w:eastAsia="zh-CN" w:bidi="ar"/>
              </w:rPr>
              <w:t xml:space="preserve">                                                                                                                      </w:t>
            </w:r>
          </w:p>
        </w:tc>
        <w:tc>
          <w:tcPr>
            <w:tcW w:w="397" w:type="pct"/>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auto"/>
                <w:sz w:val="22"/>
                <w:szCs w:val="22"/>
                <w:highlight w:val="none"/>
                <w:u w:val="none"/>
                <w:lang w:eastAsia="zh-CN"/>
              </w:rPr>
            </w:pPr>
            <w:r>
              <w:rPr>
                <w:rFonts w:hint="default" w:ascii="Times New Roman" w:hAnsi="Times New Roman" w:eastAsia="方正仿宋_GBK" w:cs="Times New Roman"/>
                <w:color w:val="auto"/>
                <w:kern w:val="0"/>
                <w:sz w:val="22"/>
                <w:szCs w:val="22"/>
                <w:highlight w:val="none"/>
                <w:lang w:bidi="ar"/>
              </w:rPr>
              <w:t>按实际情况加分</w:t>
            </w:r>
            <w:r>
              <w:rPr>
                <w:rFonts w:hint="default" w:ascii="Times New Roman" w:hAnsi="Times New Roman" w:eastAsia="方正仿宋_GBK" w:cs="Times New Roman"/>
                <w:color w:val="auto"/>
                <w:kern w:val="0"/>
                <w:sz w:val="22"/>
                <w:szCs w:val="22"/>
                <w:highlight w:val="none"/>
                <w:lang w:eastAsia="zh-CN" w:bidi="ar"/>
              </w:rPr>
              <w:t>（扣分）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22"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lang w:eastAsia="zh-CN"/>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default" w:ascii="Times New Roman" w:hAnsi="Times New Roman" w:cs="Times New Roman"/>
                <w:i w:val="0"/>
                <w:iCs w:val="0"/>
                <w:color w:val="auto"/>
                <w:kern w:val="0"/>
                <w:sz w:val="22"/>
                <w:szCs w:val="22"/>
                <w:highlight w:val="none"/>
                <w:u w:val="none"/>
                <w:lang w:val="en-US" w:eastAsia="zh-CN" w:bidi="ar"/>
              </w:rPr>
              <w:t>33</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配合工作</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b w:val="0"/>
                <w:bCs w:val="0"/>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w:t>
            </w:r>
            <w:r>
              <w:rPr>
                <w:rFonts w:hint="default" w:ascii="Times New Roman" w:hAnsi="Times New Roman" w:eastAsia="方正仿宋_GBK" w:cs="Times New Roman"/>
                <w:b w:val="0"/>
                <w:bCs w:val="0"/>
                <w:i w:val="0"/>
                <w:color w:val="auto"/>
                <w:kern w:val="0"/>
                <w:sz w:val="22"/>
                <w:szCs w:val="22"/>
                <w:highlight w:val="none"/>
                <w:u w:val="none"/>
                <w:lang w:val="en-US" w:eastAsia="zh-CN" w:bidi="ar"/>
              </w:rPr>
              <w:t>积极参与医保部门开展优化市直医保就医服务等创新性试点工作的，视具体情况加分，最高加20分；</w:t>
            </w:r>
          </w:p>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b w:val="0"/>
                <w:bCs w:val="0"/>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②主动发现并配合医保监督检查部门查处冒名就医等骗保行为的每例加20分，最高不超过100分。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74"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2"/>
                <w:sz w:val="22"/>
                <w:szCs w:val="22"/>
                <w:highlight w:val="none"/>
                <w:u w:val="none"/>
                <w:lang w:val="en-US" w:eastAsia="zh-CN" w:bidi="ar-SA"/>
              </w:rPr>
            </w:pPr>
            <w:r>
              <w:rPr>
                <w:rFonts w:hint="default" w:ascii="Times New Roman" w:hAnsi="Times New Roman" w:eastAsia="宋体" w:cs="Times New Roman"/>
                <w:i w:val="0"/>
                <w:iCs w:val="0"/>
                <w:color w:val="auto"/>
                <w:kern w:val="0"/>
                <w:sz w:val="22"/>
                <w:szCs w:val="22"/>
                <w:highlight w:val="none"/>
                <w:u w:val="none"/>
                <w:lang w:val="en-US" w:eastAsia="zh-CN" w:bidi="ar"/>
              </w:rPr>
              <w:t>3</w:t>
            </w:r>
            <w:r>
              <w:rPr>
                <w:rFonts w:hint="default" w:ascii="Times New Roman" w:hAnsi="Times New Roman" w:cs="Times New Roman"/>
                <w:i w:val="0"/>
                <w:iCs w:val="0"/>
                <w:color w:val="auto"/>
                <w:kern w:val="0"/>
                <w:sz w:val="22"/>
                <w:szCs w:val="22"/>
                <w:highlight w:val="none"/>
                <w:u w:val="none"/>
                <w:lang w:val="en-US" w:eastAsia="zh-CN" w:bidi="ar"/>
              </w:rPr>
              <w:t>4</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基金安全</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未按时足额返还市直医保医疗费结算周转金，拖欠时间超过1个月，扣30分（拖欠时间自收到书面追缴通知之日始计算）；②将新增执业地、分支机构或其他机构的医疗费用纳入市直医保申报结算范围，每例扣30分；③在市直医保定点地址以外或使用未向医保经办机构备案的设备接入市直医保信息网络，每例扣30分。</w:t>
            </w:r>
          </w:p>
        </w:tc>
        <w:tc>
          <w:tcPr>
            <w:tcW w:w="397" w:type="pct"/>
            <w:vMerge w:val="continue"/>
            <w:tcBorders>
              <w:tl2br w:val="nil"/>
              <w:tr2bl w:val="nil"/>
            </w:tcBorders>
            <w:noWrap w:val="0"/>
            <w:vAlign w:val="center"/>
          </w:tcPr>
          <w:p>
            <w:pPr>
              <w:keepNext w:val="0"/>
              <w:keepLines w:val="0"/>
              <w:widowControl/>
              <w:suppressLineNumbers w:val="0"/>
              <w:spacing w:line="300" w:lineRule="exact"/>
              <w:jc w:val="center"/>
              <w:textAlignment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98"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宋体" w:cs="Times New Roman"/>
                <w:i w:val="0"/>
                <w:iCs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sz w:val="22"/>
                <w:szCs w:val="22"/>
                <w:highlight w:val="none"/>
                <w:u w:val="none"/>
                <w:lang w:val="en-US" w:eastAsia="zh-CN"/>
              </w:rPr>
              <w:t>35</w:t>
            </w:r>
          </w:p>
        </w:tc>
        <w:tc>
          <w:tcPr>
            <w:tcW w:w="41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sz w:val="22"/>
                <w:szCs w:val="22"/>
                <w:highlight w:val="none"/>
                <w:u w:val="none"/>
                <w:lang w:eastAsia="zh-CN"/>
              </w:rPr>
              <w:t>保密管理</w:t>
            </w:r>
          </w:p>
        </w:tc>
        <w:tc>
          <w:tcPr>
            <w:tcW w:w="34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未保守工作秘密，收到不属于“主动公开”的市直医保文件资料，通过网络、宣传栏等方式对外发布的，每例扣10分；②未遵守保密规定，私自泄露市直医保管理信息的，每例扣10分；③未保护参保人隐私，未妥善保管市直医保参保人资料的，每例扣10分。</w:t>
            </w:r>
          </w:p>
        </w:tc>
        <w:tc>
          <w:tcPr>
            <w:tcW w:w="397" w:type="pct"/>
            <w:vMerge w:val="continue"/>
            <w:tcBorders>
              <w:tl2br w:val="nil"/>
              <w:tr2bl w:val="nil"/>
            </w:tcBorders>
            <w:noWrap w:val="0"/>
            <w:vAlign w:val="center"/>
          </w:tcPr>
          <w:p>
            <w:pPr>
              <w:keepNext w:val="0"/>
              <w:keepLines w:val="0"/>
              <w:widowControl/>
              <w:suppressLineNumbers w:val="0"/>
              <w:spacing w:line="300" w:lineRule="exact"/>
              <w:jc w:val="center"/>
              <w:textAlignment w:val="center"/>
              <w:rPr>
                <w:rFonts w:hint="default" w:ascii="Times New Roman" w:hAnsi="Times New Roman" w:eastAsia="方正仿宋_GBK" w:cs="Times New Roman"/>
                <w:i w:val="0"/>
                <w:iCs w:val="0"/>
                <w:color w:val="auto"/>
                <w:kern w:val="2"/>
                <w:sz w:val="22"/>
                <w:szCs w:val="22"/>
                <w:highlight w:val="none"/>
                <w:u w:val="non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04" w:hRule="atLeast"/>
          <w:jc w:val="center"/>
        </w:trPr>
        <w:tc>
          <w:tcPr>
            <w:tcW w:w="40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b/>
                <w:bCs/>
                <w:i w:val="0"/>
                <w:iCs w:val="0"/>
                <w:color w:val="auto"/>
                <w:sz w:val="22"/>
                <w:szCs w:val="22"/>
                <w:highlight w:val="none"/>
                <w:u w:val="none"/>
              </w:rPr>
            </w:pPr>
          </w:p>
        </w:tc>
        <w:tc>
          <w:tcPr>
            <w:tcW w:w="31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宋体" w:cs="Times New Roman"/>
                <w:i w:val="0"/>
                <w:iCs w:val="0"/>
                <w:color w:val="auto"/>
                <w:kern w:val="2"/>
                <w:sz w:val="22"/>
                <w:szCs w:val="22"/>
                <w:highlight w:val="none"/>
                <w:u w:val="none"/>
                <w:lang w:val="en-US" w:eastAsia="zh-CN" w:bidi="ar-SA"/>
              </w:rPr>
            </w:pPr>
            <w:r>
              <w:rPr>
                <w:rFonts w:hint="default" w:ascii="Times New Roman" w:hAnsi="Times New Roman" w:eastAsia="宋体" w:cs="Times New Roman"/>
                <w:i w:val="0"/>
                <w:iCs w:val="0"/>
                <w:color w:val="auto"/>
                <w:kern w:val="0"/>
                <w:sz w:val="22"/>
                <w:szCs w:val="22"/>
                <w:highlight w:val="none"/>
                <w:u w:val="none"/>
                <w:lang w:val="en-US" w:eastAsia="zh-CN" w:bidi="ar"/>
              </w:rPr>
              <w:t>3</w:t>
            </w:r>
            <w:r>
              <w:rPr>
                <w:rFonts w:hint="default" w:ascii="Times New Roman" w:hAnsi="Times New Roman" w:cs="Times New Roman"/>
                <w:i w:val="0"/>
                <w:iCs w:val="0"/>
                <w:color w:val="auto"/>
                <w:kern w:val="0"/>
                <w:sz w:val="22"/>
                <w:szCs w:val="22"/>
                <w:highlight w:val="none"/>
                <w:u w:val="none"/>
                <w:lang w:val="en-US" w:eastAsia="zh-CN" w:bidi="ar"/>
              </w:rPr>
              <w:t>6</w:t>
            </w:r>
          </w:p>
        </w:tc>
        <w:tc>
          <w:tcPr>
            <w:tcW w:w="410"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受处理情况</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日常考核</w:t>
            </w:r>
          </w:p>
        </w:tc>
        <w:tc>
          <w:tcPr>
            <w:tcW w:w="34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门诊标志</w:t>
            </w:r>
          </w:p>
        </w:tc>
        <w:tc>
          <w:tcPr>
            <w:tcW w:w="27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default" w:ascii="Times New Roman" w:hAnsi="Times New Roman" w:eastAsia="方正仿宋_GBK" w:cs="Times New Roman"/>
                <w:i w:val="0"/>
                <w:color w:val="auto"/>
                <w:kern w:val="0"/>
                <w:sz w:val="22"/>
                <w:szCs w:val="22"/>
                <w:highlight w:val="none"/>
                <w:u w:val="none"/>
                <w:lang w:val="en-US" w:eastAsia="zh-CN" w:bidi="ar"/>
              </w:rPr>
            </w:pPr>
            <w:r>
              <w:rPr>
                <w:rFonts w:hint="default" w:ascii="Times New Roman" w:hAnsi="Times New Roman" w:eastAsia="方正仿宋_GBK" w:cs="Times New Roman"/>
                <w:i w:val="0"/>
                <w:color w:val="auto"/>
                <w:kern w:val="0"/>
                <w:sz w:val="22"/>
                <w:szCs w:val="22"/>
                <w:highlight w:val="none"/>
                <w:u w:val="none"/>
                <w:lang w:val="en-US" w:eastAsia="zh-CN" w:bidi="ar"/>
              </w:rPr>
              <w:t>①因违反市直医保服务协议约定或违反《医疗机构医疗保障定点管理暂行办法》规定，受到约谈处理的（以处理通知签发日期为准，下同）扣20分，受到中止相关责任人员、科室（部门）处理的扣50分，受到中止市直医保协议处理的扣100分；②因违反《医疗保障基金使用监督管理条例》有关规定受到行政处罚的扣60分。其他违反医保法律、法规的情形，参照上述条款，视情节轻重进行扣分。</w:t>
            </w:r>
          </w:p>
        </w:tc>
        <w:tc>
          <w:tcPr>
            <w:tcW w:w="397"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auto"/>
                <w:sz w:val="22"/>
                <w:szCs w:val="22"/>
                <w:highlight w:val="none"/>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9" w:hRule="atLeast"/>
          <w:jc w:val="center"/>
        </w:trPr>
        <w:tc>
          <w:tcPr>
            <w:tcW w:w="5000" w:type="pct"/>
            <w:gridSpan w:val="7"/>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auto"/>
                <w:sz w:val="22"/>
                <w:szCs w:val="22"/>
                <w:highlight w:val="none"/>
                <w:u w:val="none"/>
              </w:rPr>
            </w:pPr>
            <w:r>
              <w:rPr>
                <w:rFonts w:hint="default" w:ascii="Times New Roman" w:hAnsi="Times New Roman" w:eastAsia="方正仿宋_GBK" w:cs="Times New Roman"/>
                <w:b/>
                <w:bCs/>
                <w:i w:val="0"/>
                <w:color w:val="auto"/>
                <w:kern w:val="0"/>
                <w:sz w:val="22"/>
                <w:szCs w:val="22"/>
                <w:highlight w:val="none"/>
                <w:u w:val="none"/>
                <w:lang w:val="en-US" w:eastAsia="zh-CN" w:bidi="ar"/>
              </w:rPr>
              <w:t>说明：</w:t>
            </w:r>
            <w:r>
              <w:rPr>
                <w:rFonts w:hint="default" w:ascii="Times New Roman" w:hAnsi="Times New Roman" w:eastAsia="方正仿宋_GBK" w:cs="Times New Roman"/>
                <w:i w:val="0"/>
                <w:color w:val="auto"/>
                <w:kern w:val="0"/>
                <w:sz w:val="22"/>
                <w:szCs w:val="22"/>
                <w:highlight w:val="none"/>
                <w:u w:val="none"/>
                <w:lang w:val="en-US" w:eastAsia="zh-CN" w:bidi="ar"/>
              </w:rPr>
              <w:t>1.评分总分为1000分，得分不超过1000分；2.“门诊标志”项为单纯门诊的日常考核项目；3.考核扣分在各考核类别的基本分值范围内扣完为止；4相关服务量、医疗费用等数据以市直医保信息系统申报数据为准；5.加减分均在总分核算完毕后进行加、减，加分总和不超过50分。</w:t>
            </w:r>
          </w:p>
        </w:tc>
      </w:tr>
      <mc:AlternateContent>
        <mc:Choice Requires="wpsCustomData">
          <wpsCustomData:docfieldEnd id="0"/>
        </mc:Choice>
      </mc:AlternateContent>
    </w:tbl>
    <w:p>
      <w:pPr>
        <w:ind w:right="277" w:rightChars="138"/>
        <w:jc w:val="left"/>
        <w:rPr>
          <w:rFonts w:hint="eastAsia" w:ascii="Times New Roman" w:hAnsi="Times New Roman" w:eastAsia="方正仿宋_GBK" w:cs="Times New Roman"/>
          <w:sz w:val="32"/>
          <w:szCs w:val="32"/>
          <w:lang w:eastAsia="zh-CN"/>
        </w:rPr>
      </w:pPr>
    </w:p>
    <w:sectPr>
      <w:headerReference r:id="rId3" w:type="default"/>
      <w:footerReference r:id="rId5" w:type="default"/>
      <w:headerReference r:id="rId4" w:type="even"/>
      <w:footerReference r:id="rId6" w:type="even"/>
      <w:pgSz w:w="11906" w:h="16838"/>
      <w:pgMar w:top="2098" w:right="1474" w:bottom="1984" w:left="1588" w:header="851" w:footer="1417" w:gutter="0"/>
      <w:pgNumType w:fmt="decimal"/>
      <w:cols w:space="720" w:num="1"/>
      <w:docGrid w:type="linesAndChars" w:linePitch="579" w:charSpace="-184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292" w:rightChars="139"/>
      <w:jc w:val="left"/>
      <w:rPr>
        <w:rFonts w:ascii="宋体" w:hAnsi="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left="401" w:leftChars="191"/>
      <w:rPr>
        <w:rFonts w:ascii="宋体" w:hAnsi="宋体"/>
      </w:rPr>
    </w:pPr>
    <w:r>
      <w:rPr>
        <w:rFonts w:hint="eastAsia" w:ascii="宋体" w:hAnsi="宋体"/>
        <w:sz w:val="28"/>
        <w:szCs w:val="28"/>
      </w:rPr>
      <w:t xml:space="preserve">— </w:t>
    </w:r>
    <w:r>
      <w:rPr>
        <w:rFonts w:ascii="宋体" w:hAnsi="宋体"/>
        <w:sz w:val="28"/>
        <w:szCs w:val="28"/>
      </w:rPr>
      <w:fldChar w:fldCharType="begin"/>
    </w:r>
    <w:r>
      <w:rPr>
        <w:rStyle w:val="6"/>
        <w:rFonts w:ascii="宋体" w:hAnsi="宋体"/>
        <w:sz w:val="28"/>
        <w:szCs w:val="28"/>
      </w:rPr>
      <w:instrText xml:space="preserve"> PAGE </w:instrText>
    </w:r>
    <w:r>
      <w:rPr>
        <w:rFonts w:ascii="宋体" w:hAnsi="宋体"/>
        <w:sz w:val="28"/>
        <w:szCs w:val="28"/>
      </w:rPr>
      <w:fldChar w:fldCharType="separate"/>
    </w:r>
    <w:r>
      <w:rPr>
        <w:rStyle w:val="6"/>
        <w:rFonts w:ascii="宋体" w:hAnsi="宋体"/>
        <w:sz w:val="28"/>
        <w:szCs w:val="28"/>
      </w:rPr>
      <w:t>5</w:t>
    </w:r>
    <w:r>
      <w:rPr>
        <w:rFonts w:ascii="宋体" w:hAnsi="宋体"/>
        <w:sz w:val="28"/>
        <w:szCs w:val="28"/>
      </w:rPr>
      <w:fldChar w:fldCharType="end"/>
    </w:r>
    <w:r>
      <w:rPr>
        <w:rFonts w:hint="eastAsia" w:ascii="宋体" w:hAnsi="宋体"/>
        <w:sz w:val="28"/>
        <w:szCs w:val="28"/>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top w:val="none" w:color="auto" w:sz="0" w:space="0"/>
        <w:left w:val="none" w:color="auto" w:sz="0" w:space="0"/>
        <w:bottom w:val="none" w:color="auto" w:sz="0" w:space="1"/>
        <w:right w:val="none" w:color="auto" w:sz="0" w:space="0"/>
        <w:between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top w:val="none" w:color="auto" w:sz="0" w:space="0"/>
        <w:left w:val="none" w:color="auto" w:sz="0" w:space="0"/>
        <w:bottom w:val="none" w:color="auto" w:sz="0" w:space="1"/>
        <w:right w:val="none" w:color="auto" w:sz="0" w:space="0"/>
        <w:between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mirrorMargins w:val="true"/>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cumentProtection w:enforcement="0"/>
  <w:defaultTabStop w:val="420"/>
  <w:hyphenationZone w:val="360"/>
  <w:evenAndOddHeaders w:val="true"/>
  <w:drawingGridHorizontalSpacing w:val="101"/>
  <w:drawingGridVerticalSpacing w:val="579"/>
  <w:displayHorizontalDrawingGridEvery w:val="0"/>
  <w:displayVerticalDrawingGridEvery w:val="1"/>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k1Mzc4M2YxNjU5YWIwZDZjOGJmZjgxOTJhNjlmZmMifQ=="/>
  </w:docVars>
  <w:rsids>
    <w:rsidRoot w:val="7E5F4A32"/>
    <w:rsid w:val="00055B3A"/>
    <w:rsid w:val="00070002"/>
    <w:rsid w:val="00095F89"/>
    <w:rsid w:val="000C7388"/>
    <w:rsid w:val="001025EE"/>
    <w:rsid w:val="0020390D"/>
    <w:rsid w:val="00240406"/>
    <w:rsid w:val="002557DF"/>
    <w:rsid w:val="00285222"/>
    <w:rsid w:val="002F5CB6"/>
    <w:rsid w:val="00314A43"/>
    <w:rsid w:val="00345B00"/>
    <w:rsid w:val="003C6FFF"/>
    <w:rsid w:val="00416DF2"/>
    <w:rsid w:val="004E5163"/>
    <w:rsid w:val="004F1ADE"/>
    <w:rsid w:val="00530F67"/>
    <w:rsid w:val="00593961"/>
    <w:rsid w:val="005C322D"/>
    <w:rsid w:val="005F62B6"/>
    <w:rsid w:val="00647CE5"/>
    <w:rsid w:val="00657391"/>
    <w:rsid w:val="00705189"/>
    <w:rsid w:val="00723706"/>
    <w:rsid w:val="0074405A"/>
    <w:rsid w:val="007602E0"/>
    <w:rsid w:val="007A51C4"/>
    <w:rsid w:val="007F58C4"/>
    <w:rsid w:val="008570C8"/>
    <w:rsid w:val="00862528"/>
    <w:rsid w:val="008645F9"/>
    <w:rsid w:val="00925061"/>
    <w:rsid w:val="0095449A"/>
    <w:rsid w:val="0098615B"/>
    <w:rsid w:val="009A0883"/>
    <w:rsid w:val="00A00000"/>
    <w:rsid w:val="00A343CE"/>
    <w:rsid w:val="00A6191D"/>
    <w:rsid w:val="00AE0F3E"/>
    <w:rsid w:val="00AE157E"/>
    <w:rsid w:val="00B03550"/>
    <w:rsid w:val="00B066B7"/>
    <w:rsid w:val="00B81653"/>
    <w:rsid w:val="00C10E39"/>
    <w:rsid w:val="00C24818"/>
    <w:rsid w:val="00C46545"/>
    <w:rsid w:val="00C86641"/>
    <w:rsid w:val="00CD162B"/>
    <w:rsid w:val="00CD1D6C"/>
    <w:rsid w:val="00CE4DA3"/>
    <w:rsid w:val="00D13B94"/>
    <w:rsid w:val="00D21809"/>
    <w:rsid w:val="00D21AAD"/>
    <w:rsid w:val="00D427FF"/>
    <w:rsid w:val="00D663B7"/>
    <w:rsid w:val="00D7674E"/>
    <w:rsid w:val="00DD03A0"/>
    <w:rsid w:val="00DF6E60"/>
    <w:rsid w:val="00E63524"/>
    <w:rsid w:val="00E768BF"/>
    <w:rsid w:val="00FE343B"/>
    <w:rsid w:val="034F682E"/>
    <w:rsid w:val="06DF661B"/>
    <w:rsid w:val="06EF2907"/>
    <w:rsid w:val="089C3E84"/>
    <w:rsid w:val="09101879"/>
    <w:rsid w:val="0DC9777B"/>
    <w:rsid w:val="0F962160"/>
    <w:rsid w:val="0FD86F8F"/>
    <w:rsid w:val="111524F5"/>
    <w:rsid w:val="12802E88"/>
    <w:rsid w:val="12AD4582"/>
    <w:rsid w:val="15D54884"/>
    <w:rsid w:val="17466F7C"/>
    <w:rsid w:val="17A503D7"/>
    <w:rsid w:val="194C2CEB"/>
    <w:rsid w:val="19A66B06"/>
    <w:rsid w:val="1B414B6C"/>
    <w:rsid w:val="1C61429E"/>
    <w:rsid w:val="1FF377C9"/>
    <w:rsid w:val="261A0BB1"/>
    <w:rsid w:val="26C92E7D"/>
    <w:rsid w:val="27572004"/>
    <w:rsid w:val="27B34EFE"/>
    <w:rsid w:val="28311117"/>
    <w:rsid w:val="2A142034"/>
    <w:rsid w:val="2ECF73B9"/>
    <w:rsid w:val="2ED324B8"/>
    <w:rsid w:val="30E83936"/>
    <w:rsid w:val="34BC602D"/>
    <w:rsid w:val="350C6B11"/>
    <w:rsid w:val="36FE8CE3"/>
    <w:rsid w:val="37C44C68"/>
    <w:rsid w:val="37C911D3"/>
    <w:rsid w:val="37DC622A"/>
    <w:rsid w:val="388A690E"/>
    <w:rsid w:val="39BF0CAE"/>
    <w:rsid w:val="3AB712F1"/>
    <w:rsid w:val="3AC31BB0"/>
    <w:rsid w:val="3C5E441C"/>
    <w:rsid w:val="3D3740FC"/>
    <w:rsid w:val="3E2B1FEB"/>
    <w:rsid w:val="3FEE6163"/>
    <w:rsid w:val="40676225"/>
    <w:rsid w:val="4B605D8C"/>
    <w:rsid w:val="4B661184"/>
    <w:rsid w:val="4BF15866"/>
    <w:rsid w:val="4F7773D4"/>
    <w:rsid w:val="4FBF1F5C"/>
    <w:rsid w:val="502E554F"/>
    <w:rsid w:val="50543F0B"/>
    <w:rsid w:val="58E44452"/>
    <w:rsid w:val="5907521B"/>
    <w:rsid w:val="59FCDA8B"/>
    <w:rsid w:val="5B2079E6"/>
    <w:rsid w:val="5C896682"/>
    <w:rsid w:val="5D163EF1"/>
    <w:rsid w:val="5DFB1EEF"/>
    <w:rsid w:val="5EB940A8"/>
    <w:rsid w:val="5EDF90FE"/>
    <w:rsid w:val="5F77B4DD"/>
    <w:rsid w:val="5FFC2D46"/>
    <w:rsid w:val="602C70DB"/>
    <w:rsid w:val="607E5BEE"/>
    <w:rsid w:val="610C6434"/>
    <w:rsid w:val="62350642"/>
    <w:rsid w:val="625E0503"/>
    <w:rsid w:val="62C67235"/>
    <w:rsid w:val="67FD5E6C"/>
    <w:rsid w:val="684302C3"/>
    <w:rsid w:val="6A530919"/>
    <w:rsid w:val="6C3E612B"/>
    <w:rsid w:val="6C6EE078"/>
    <w:rsid w:val="6F855BD4"/>
    <w:rsid w:val="6F9F52A1"/>
    <w:rsid w:val="6FB9C01E"/>
    <w:rsid w:val="6FFE5168"/>
    <w:rsid w:val="71830F1B"/>
    <w:rsid w:val="73275A2C"/>
    <w:rsid w:val="73B560E0"/>
    <w:rsid w:val="74D47615"/>
    <w:rsid w:val="756F5065"/>
    <w:rsid w:val="75BB4E5F"/>
    <w:rsid w:val="75BB5FC6"/>
    <w:rsid w:val="75FFDA54"/>
    <w:rsid w:val="760060A7"/>
    <w:rsid w:val="76FE219D"/>
    <w:rsid w:val="77FF9113"/>
    <w:rsid w:val="79E71462"/>
    <w:rsid w:val="7AFDF2FE"/>
    <w:rsid w:val="7B3F3CCF"/>
    <w:rsid w:val="7B865683"/>
    <w:rsid w:val="7BB80C84"/>
    <w:rsid w:val="7BDF5DAD"/>
    <w:rsid w:val="7BFE755F"/>
    <w:rsid w:val="7C8606CC"/>
    <w:rsid w:val="7C8A58AC"/>
    <w:rsid w:val="7DE30135"/>
    <w:rsid w:val="7E5F4A32"/>
    <w:rsid w:val="7F1FD711"/>
    <w:rsid w:val="7FCA50C4"/>
    <w:rsid w:val="7FF67F0E"/>
    <w:rsid w:val="895F3D92"/>
    <w:rsid w:val="BBEF7B1A"/>
    <w:rsid w:val="D9DFF815"/>
    <w:rsid w:val="E6B7E619"/>
    <w:rsid w:val="EBEFFF8C"/>
    <w:rsid w:val="EFBE637B"/>
    <w:rsid w:val="F1BFE874"/>
    <w:rsid w:val="F1FF4E4A"/>
    <w:rsid w:val="F6FFA2B5"/>
    <w:rsid w:val="FAFF9AE1"/>
    <w:rsid w:val="FDDB0619"/>
    <w:rsid w:val="FEE0F287"/>
    <w:rsid w:val="FEE75774"/>
    <w:rsid w:val="FF516D46"/>
    <w:rsid w:val="FF556A4B"/>
    <w:rsid w:val="FFB0B26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Style w:val="4"/>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 w:type="character" w:styleId="7">
    <w:name w:val="HTML Typewriter"/>
    <w:basedOn w:val="5"/>
    <w:uiPriority w:val="0"/>
    <w:rPr>
      <w:rFonts w:ascii="Times New Roman" w:hAnsi="Times New Roman"/>
      <w:sz w:val="20"/>
    </w:rPr>
  </w:style>
  <w:style w:type="character" w:styleId="8">
    <w:name w:val="HTML Code"/>
    <w:basedOn w:val="5"/>
    <w:uiPriority w:val="0"/>
    <w:rPr>
      <w:rFonts w:ascii="Times New Roman" w:hAnsi="Times New Roman"/>
      <w:sz w:val="20"/>
    </w:rPr>
  </w:style>
  <w:style w:type="character" w:styleId="9">
    <w:name w:val="HTML Keyboard"/>
    <w:basedOn w:val="5"/>
    <w:uiPriority w:val="0"/>
    <w:rPr>
      <w:rFonts w:ascii="Times New Roman" w:hAnsi="Times New Roman"/>
      <w:sz w:val="20"/>
    </w:rPr>
  </w:style>
  <w:style w:type="character" w:styleId="10">
    <w:name w:val="HTML Sample"/>
    <w:basedOn w:val="5"/>
    <w:uiPriority w:val="0"/>
    <w:rPr>
      <w:rFonts w:ascii="Times New Roman" w:hAnsi="Times New Roman"/>
    </w:rPr>
  </w:style>
  <w:style w:type="paragraph" w:customStyle="1" w:styleId="11">
    <w:name w:val="Char"/>
    <w:basedOn w:val="1"/>
    <w:qFormat/>
    <w:uiPriority w:val="0"/>
    <w:pPr>
      <w:spacing w:beforeLines="20"/>
      <w:ind w:firstLine="641" w:firstLineChars="200"/>
      <w:jc w:val="left"/>
    </w:pPr>
    <w:rPr>
      <w:rFonts w:ascii="Times New Roman" w:hAnsi="Times New Roman" w:eastAsia="方正仿宋_GBK"/>
      <w:sz w:val="32"/>
      <w:szCs w:val="32"/>
    </w:rPr>
  </w:style>
  <w:style w:type="character" w:customStyle="1" w:styleId="12">
    <w:name w:val="font01"/>
    <w:basedOn w:val="5"/>
    <w:qFormat/>
    <w:uiPriority w:val="0"/>
    <w:rPr>
      <w:rFonts w:hint="eastAsia" w:ascii="方正仿宋_GBK" w:hAnsi="方正仿宋_GBK" w:eastAsia="方正仿宋_GBK" w:cs="方正仿宋_GBK"/>
      <w:color w:val="FF0000"/>
      <w:sz w:val="18"/>
      <w:szCs w:val="18"/>
      <w:u w:val="none"/>
    </w:rPr>
  </w:style>
  <w:style w:type="character" w:customStyle="1" w:styleId="13">
    <w:name w:val="font251"/>
    <w:basedOn w:val="5"/>
    <w:qFormat/>
    <w:uiPriority w:val="0"/>
    <w:rPr>
      <w:rFonts w:hint="eastAsia" w:ascii="方正仿宋_GBK" w:hAnsi="方正仿宋_GBK" w:eastAsia="方正仿宋_GBK" w:cs="方正仿宋_GBK"/>
      <w:color w:val="000000"/>
      <w:sz w:val="22"/>
      <w:szCs w:val="22"/>
      <w:u w:val="none"/>
    </w:rPr>
  </w:style>
  <w:style w:type="character" w:customStyle="1" w:styleId="14">
    <w:name w:val="font101"/>
    <w:basedOn w:val="5"/>
    <w:qFormat/>
    <w:uiPriority w:val="0"/>
    <w:rPr>
      <w:rFonts w:hint="eastAsia" w:ascii="方正黑体_GBK" w:hAnsi="方正黑体_GBK" w:eastAsia="方正黑体_GBK" w:cs="方正黑体_GBK"/>
      <w:color w:val="000000"/>
      <w:sz w:val="22"/>
      <w:szCs w:val="22"/>
      <w:u w:val="none"/>
    </w:rPr>
  </w:style>
  <w:style w:type="character" w:customStyle="1" w:styleId="15">
    <w:name w:val="font51"/>
    <w:basedOn w:val="5"/>
    <w:qFormat/>
    <w:uiPriority w:val="0"/>
    <w:rPr>
      <w:rFonts w:hint="eastAsia" w:ascii="方正仿宋_GBK" w:hAnsi="方正仿宋_GBK" w:eastAsia="方正仿宋_GBK" w:cs="方正仿宋_GBK"/>
      <w:b/>
      <w:bCs/>
      <w:color w:val="FF0000"/>
      <w:sz w:val="22"/>
      <w:szCs w:val="22"/>
      <w:u w:val="none"/>
    </w:rPr>
  </w:style>
  <w:style w:type="character" w:customStyle="1" w:styleId="16">
    <w:name w:val="font31"/>
    <w:basedOn w:val="5"/>
    <w:qFormat/>
    <w:uiPriority w:val="0"/>
    <w:rPr>
      <w:rFonts w:ascii="方正书宋_GBK" w:hAnsi="方正书宋_GBK" w:eastAsia="方正书宋_GBK" w:cs="方正书宋_GBK"/>
      <w:color w:val="FF0000"/>
      <w:sz w:val="22"/>
      <w:szCs w:val="22"/>
      <w:u w:val="none"/>
    </w:rPr>
  </w:style>
  <w:style w:type="character" w:customStyle="1" w:styleId="17">
    <w:name w:val="font281"/>
    <w:basedOn w:val="5"/>
    <w:qFormat/>
    <w:uiPriority w:val="0"/>
    <w:rPr>
      <w:rFonts w:ascii="方正仿宋_GBK" w:hAnsi="方正仿宋_GBK" w:eastAsia="方正仿宋_GBK" w:cs="方正仿宋_GBK"/>
      <w:b/>
      <w:bCs/>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公文模版2023.wpt</Template>
  <Pages>10</Pages>
  <Words>964</Words>
  <Characters>1097</Characters>
  <Lines>6</Lines>
  <Paragraphs>1</Paragraphs>
  <TotalTime>17</TotalTime>
  <ScaleCrop>false</ScaleCrop>
  <LinksUpToDate>false</LinksUpToDate>
  <CharactersWithSpaces>1467</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2023-06-12T09:18:00Z</dcterms:created>
  <dc:creator>沈翠兰</dc:creator>
  <cp:lastModifiedBy>wilkins</cp:lastModifiedBy>
  <dcterms:modified xsi:type="dcterms:W3CDTF">2024-10-18T12:20:30Z</dcterms:modified>
  <dc:title>穗医管函〔2013〕号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A5C07E9795E0CF35EB680F6717BE0722</vt:lpwstr>
  </property>
</Properties>
</file>