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二级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三级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四级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《饮用天然矿泉水》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8537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饮料》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7101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食品中致病菌限量》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29921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Style w:val="31"/>
                <w:rFonts w:hint="default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31"/>
                <w:rFonts w:hint="default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31"/>
                <w:rFonts w:hint="default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31"/>
                <w:rFonts w:hint="default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铅(以Pb计)、展青霉素、苯甲酸及其钠盐(以苯甲酸计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、山梨酸及其钾盐(以山梨酸计)、脱氢乙酸及其钠盐(以脱氢乙酸计)、纳他霉素、防腐剂混合使用时各自用量占其最大使用量的比例之和、糖精钠(以糖精计)、安赛蜜、甜蜜素(以环己基氨基磺酸计)、合成着色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赤藓红、酸性红、苋菜红、新红、胭脂红、柠檬黄、日落黄、亮蓝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柠檬黄、日落黄、苋菜红、胭脂红、亮蓝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赤藓红、苋菜红、新红、胭脂红、柠檬黄、日落黄、亮蓝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挥发性盐基氮、镉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、孔雀石绿、氯霉素、甲砜霉素、氟苯尼考、呋喃唑酮代谢物、呋喃它酮代谢物、呋喃西林代谢物、呋喃妥因代谢物、恩诺沙星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、地西泮、甲硝唑、地美硝唑、洛硝哒唑、羟基甲硝唑、羟甲基甲硝咪唑、五氯酚酸钠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以五氯酚计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挥发性盐基氮、镉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、地西泮、甲硝唑、地美硝唑、洛硝哒唑、羟基甲硝唑、羟甲基甲硝咪唑、五氯酚酸钠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以五氯酚计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、地西泮、甲硝唑、地美硝唑、洛硝哒唑、羟基甲硝唑、羟甲基甲硝咪唑、五氯酚酸钠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以五氯酚计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挥发性盐基氮、组胺、镉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、孔雀石绿、氯霉素、甲砜霉素、氟苯尼考、呋喃唑酮代谢物、呋喃它酮代谢物、呋喃西林代谢物、呋喃妥因代谢物、恩诺沙星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、地西泮、甲硝唑、地美硝唑、洛硝哒唑、羟基甲硝唑、羟甲基甲硝咪唑、五氯酚酸钠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以五氯酚计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挥发性盐基氮、镉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、地西泮、甲硝唑、地美硝唑、洛硝哒唑、羟基甲硝唑、羟甲基甲硝咪唑、五氯酚酸钠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以五氯酚计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挥发性盐基氮、镉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、地西泮、甲硝唑、地美硝唑、洛硝哒唑、羟基甲硝唑、羟甲基甲硝咪唑、五氯酚酸钠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以五氯酚计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贝类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贝类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挥发性盐基氮、铅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、无机砷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、孔雀石绿、氯霉素、氟苯尼考、呋喃唑酮代谢物、呋喃它酮代谢物、呋喃西林代谢物、呋喃妥因代谢物、恩诺沙星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、氧氟沙星、培氟沙星、洛美沙星、诺氟沙星、四环素、金霉素、土霉素、磺胺类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、甲基汞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以Hg计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、无机砷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、孔雀石绿、氯霉素、呋喃唑酮代谢物、呋喃它酮代谢物、呋喃西林代谢物、呋喃妥因代谢物、恩诺沙星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豆芽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豆芽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以Cr计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、亚硫酸盐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以SO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、6-苄基腺嘌呤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6-BA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、4-氯苯氧乙酸钠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以4-氯苯氧乙酸计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以Hg计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韭菜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菜薹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菜心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菠菜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芹菜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茄子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辣椒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番茄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甜椒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黄瓜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豇豆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菜豆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山药、马铃薯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snapToGrid w:val="0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鲜蛋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鸡蛋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、氯霉素、氟苯尼考、恩诺沙星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以恩诺沙星和环丙沙星之和计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、洛美沙星、诺氟沙星、培氟沙星、氧氟沙星、呋喃它酮代谢物、呋喃妥因代谢物、呋喃西林代谢物、呋喃唑酮代谢物、金刚烷胺、金刚乙胺、利巴韦林、强力霉素、氟虫腈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以氟虫腈、氟甲腈、氟虫腈砜和氟虫腈亚砜之和计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、氯霉素、氟苯尼考、洛美沙星、诺氟沙星、培氟沙星、氧氟沙星、呋喃它酮代谢物、呋喃妥因代谢物、呋喃西林代谢物、呋喃唑酮代谢物、金刚烷胺、金刚乙胺、利巴韦林、氟虫腈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以氟虫腈、氟甲腈、氟虫腈砜和氟虫腈亚砜之和计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腌腊肉制品》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2730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食品添加剂使用标准》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三甲胺氮、过氧化值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以Cr计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、N-二甲基亚硝胺、氯霉素、亚硝酸盐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以亚硝酸钠计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以Cr计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、氯霉素、酸性橙Ⅱ、亚硝酸盐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以亚硝酸钠计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以Cr计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、氯霉素、苯甲酸及其钠盐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食品中真菌毒素限量》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水分、酸价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、过氧化值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干制薯类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马铃薯片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酸价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、过氧化值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干制薯类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除马铃薯片外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冷冻薯类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薯泥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薯粉类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自然干制品、热风干燥蔬菜、冷冻干燥蔬菜等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食品中致病菌限量》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29921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以Hg计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以Cd计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以Hg计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、二氧化硫残留量、防腐剂各自用量占其最大使用量的比例之和、三氯蔗糖、山梨酸及其钾盐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自制食品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火锅底料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食品中致病菌限量》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29921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snapToGrid w:val="0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糕点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snapToGrid w:val="0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酸价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、过氧化值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以脂肪计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、富马酸二甲酯、苏丹红I-IV、苯甲酸及其钠盐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、甜蜜素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以环己基氨基磺酸计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、安赛蜜、铝的残留量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干样品，以Al计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米粉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农药最大残留量》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以Cr计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其他谷物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碾磨加工品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以Cr计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生湿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面制品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、二氧化硫残留量、菌落总数、大肠菌群、沙门氏菌、金黄色葡萄球菌、米酵菌酸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酱油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酿造酱油、配制酱油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食品中污染物限量》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氨基酸态氮、铵盐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以占氨基酸态氮的百分比计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3-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氯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2-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丙二醇、苯甲酸及其钠盐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、对羟基苯甲酸酯类及其钠盐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以对羟基苯甲酸计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食醋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酿造食醋、配制食醋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总酸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、游离矿酸、铅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、对羟基苯甲酸酯类及其钠盐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以对羟基苯甲酸计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酱类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黄豆酱等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氨基酸态氮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香辛料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调味油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、罗丹明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、戊唑醇、马拉硫磷、罗丹明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香辛料酱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芥末酱、青芥酱等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谷氨酸钠、呈味核苷酸二钠、铅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、甜蜜素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以环己基氨基磺酸计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、甜蜜素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以环己基氨基磺酸计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蛋黄酱、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沙拉酱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、防腐剂混合使用时各自用量占其最大使用量的比例之和、二氧化硫残留量、糖精钠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、甜蜜素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以环己基氨基磺酸计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、防腐剂混合使用时各自用量占其最大使用量的比例之和、二氧化硫残留量、糖精钠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、甜蜜素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以环己基氨基磺酸计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Cd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其他液体调味料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Cd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、苯甲酸及其钠盐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以苯甲酸计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、山梨酸及其钾盐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以山梨酸计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、脱氢乙酸及其钠盐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以脱氢乙酸计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以糖精计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、甜蜜素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以环己基氨基磺酸计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、阿斯巴甜、菌落总数、大肠菌群、金黄色葡萄球菌、沙门氏菌、副溶血性弧菌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味精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味精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谷氨酸钠、铅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</w:t>
            </w:r>
            <w:r>
              <w:rPr>
                <w:rStyle w:val="30"/>
                <w:rFonts w:eastAsia="宋体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《食用植物油卫生标准》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2716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、《食品安全国家标准 食品中污染物限量》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GB 2762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95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标签、酸值/酸价、过氧化值、总砷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以As计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以Pb计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、苯并[a]芘、溶剂残留量、游离棉酚、丁基羟基茴香醚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、二丁基羟基甲苯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、特丁基对苯二酚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)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0F1202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16BA"/>
    <w:rsid w:val="00366563"/>
    <w:rsid w:val="00382CBE"/>
    <w:rsid w:val="0038633A"/>
    <w:rsid w:val="00387A8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A72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2C3B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26BB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87591"/>
    <w:rsid w:val="009B0D33"/>
    <w:rsid w:val="009B17D9"/>
    <w:rsid w:val="009B2B3B"/>
    <w:rsid w:val="009B7074"/>
    <w:rsid w:val="009C78F5"/>
    <w:rsid w:val="009D0BD1"/>
    <w:rsid w:val="009D113B"/>
    <w:rsid w:val="009D3FC5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B39B2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31CE4"/>
    <w:rsid w:val="00D34815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B82533"/>
    <w:rsid w:val="0D674BC7"/>
    <w:rsid w:val="0DDA2839"/>
    <w:rsid w:val="0EC570B2"/>
    <w:rsid w:val="0F7262A7"/>
    <w:rsid w:val="0F7A28F5"/>
    <w:rsid w:val="0FAA3555"/>
    <w:rsid w:val="106A0B6B"/>
    <w:rsid w:val="10944F24"/>
    <w:rsid w:val="111274AC"/>
    <w:rsid w:val="1114193C"/>
    <w:rsid w:val="1123788A"/>
    <w:rsid w:val="114D187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9AA1713"/>
    <w:rsid w:val="1B063AF3"/>
    <w:rsid w:val="1C21487F"/>
    <w:rsid w:val="1C8B1BF3"/>
    <w:rsid w:val="1D051C5B"/>
    <w:rsid w:val="1D3C6EE9"/>
    <w:rsid w:val="1D496E62"/>
    <w:rsid w:val="1DF5369D"/>
    <w:rsid w:val="1E897613"/>
    <w:rsid w:val="1F777ECE"/>
    <w:rsid w:val="1FEA5FBB"/>
    <w:rsid w:val="20B34227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123188F"/>
    <w:rsid w:val="320311E0"/>
    <w:rsid w:val="320B7CCB"/>
    <w:rsid w:val="32C37D0A"/>
    <w:rsid w:val="334420E2"/>
    <w:rsid w:val="33687EBA"/>
    <w:rsid w:val="33804D20"/>
    <w:rsid w:val="33C823CA"/>
    <w:rsid w:val="350658EB"/>
    <w:rsid w:val="3548404D"/>
    <w:rsid w:val="35721096"/>
    <w:rsid w:val="369A282F"/>
    <w:rsid w:val="37016F9F"/>
    <w:rsid w:val="37B05788"/>
    <w:rsid w:val="384F258A"/>
    <w:rsid w:val="38BF5311"/>
    <w:rsid w:val="3A246B9B"/>
    <w:rsid w:val="3AA94BFD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9145C8"/>
    <w:rsid w:val="5515058E"/>
    <w:rsid w:val="5622492D"/>
    <w:rsid w:val="570D639C"/>
    <w:rsid w:val="57E7013A"/>
    <w:rsid w:val="58322D30"/>
    <w:rsid w:val="5844167B"/>
    <w:rsid w:val="59041D36"/>
    <w:rsid w:val="59784710"/>
    <w:rsid w:val="5A521C48"/>
    <w:rsid w:val="5AB714E9"/>
    <w:rsid w:val="5B8303B9"/>
    <w:rsid w:val="5BAF44A8"/>
    <w:rsid w:val="5CD6632D"/>
    <w:rsid w:val="5DF87E1A"/>
    <w:rsid w:val="5EB60EC0"/>
    <w:rsid w:val="5F27428A"/>
    <w:rsid w:val="606F5332"/>
    <w:rsid w:val="60873B69"/>
    <w:rsid w:val="608B421C"/>
    <w:rsid w:val="6095650F"/>
    <w:rsid w:val="60F56F8C"/>
    <w:rsid w:val="61980DF8"/>
    <w:rsid w:val="62AD3461"/>
    <w:rsid w:val="62EB1C5A"/>
    <w:rsid w:val="63C73F73"/>
    <w:rsid w:val="649A0059"/>
    <w:rsid w:val="64F16DF3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6FD00314"/>
    <w:rsid w:val="700246C0"/>
    <w:rsid w:val="70290E3C"/>
    <w:rsid w:val="709275B6"/>
    <w:rsid w:val="70DD5E21"/>
    <w:rsid w:val="71193CAB"/>
    <w:rsid w:val="713F4727"/>
    <w:rsid w:val="71533D63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72FC8-EACB-492D-AE42-8304E4775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15</Pages>
  <Words>1940</Words>
  <Characters>11064</Characters>
  <Lines>92</Lines>
  <Paragraphs>25</Paragraphs>
  <TotalTime>51</TotalTime>
  <ScaleCrop>false</ScaleCrop>
  <LinksUpToDate>false</LinksUpToDate>
  <CharactersWithSpaces>12979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黄俊丰</cp:lastModifiedBy>
  <cp:lastPrinted>2016-11-22T01:43:00Z</cp:lastPrinted>
  <dcterms:modified xsi:type="dcterms:W3CDTF">2019-07-09T03:18:03Z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