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2.0 -->
  <w:body>
    <w:p>
      <w:pPr>
        <w:widowControl/>
        <w:textAlignment w:val="center"/>
        <w:rPr>
          <w:rFonts w:ascii="黑体" w:eastAsia="黑体" w:hAnsi="黑体" w:cs="黑体" w:hint="eastAsia"/>
          <w:b w:val="0"/>
          <w:bCs w:val="0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  <w:r>
        <w:rPr>
          <w:rFonts w:ascii="黑体" w:eastAsia="黑体" w:hAnsi="黑体" w:cs="黑体" w:hint="eastAsia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</w:p>
    <w:p>
      <w:pPr>
        <w:widowControl/>
        <w:jc w:val="center"/>
        <w:textAlignment w:val="center"/>
        <w:rPr>
          <w:rFonts w:ascii="方正小标宋简体" w:eastAsia="方正小标宋简体" w:hAnsi="方正小标宋简体" w:cs="方正小标宋简体" w:hint="eastAsia"/>
          <w:b w:val="0"/>
          <w:bCs w:val="0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textAlignment w:val="center"/>
        <w:rPr>
          <w:rFonts w:ascii="方正小标宋简体" w:eastAsia="方正小标宋简体" w:hAnsi="方正小标宋简体" w:cs="方正小标宋简体" w:hint="default"/>
          <w:b w:val="0"/>
          <w:bCs w:val="0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202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年雷电防护装置检测服务质量第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一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次抽查结果汇总表</w:t>
      </w:r>
    </w:p>
    <w:tbl>
      <w:tblPr>
        <w:tblStyle w:val="TableNormal"/>
        <w:tblW w:w="1398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2094"/>
        <w:gridCol w:w="2516"/>
        <w:gridCol w:w="1915"/>
        <w:gridCol w:w="803"/>
        <w:gridCol w:w="2141"/>
        <w:gridCol w:w="3899"/>
        <w:gridCol w:w="36"/>
        <w:gridCol w:w="36"/>
        <w:gridCol w:w="36"/>
      </w:tblGrid>
      <w:tr>
        <w:tblPrEx>
          <w:tblW w:w="13988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2" w:type="dxa"/>
          <w:trHeight w:val="43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default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被检单位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项目地址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行政区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eastAsia="宋体" w:hAnsi="宋体" w:cs="宋体" w:hint="default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检测单位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存在问题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W w:w="13988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2" w:type="dxa"/>
          <w:trHeight w:val="66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正太集团有限公司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  <w:t>北斗科技产业园工程（临时建筑6栋）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北斗科技产业园工程（临时建筑6栋）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  <w:t>荔湾区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default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深圳市恒创达安全检测有限公司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  <w:t>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W w:w="13988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2" w:type="dxa"/>
          <w:trHeight w:val="77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广东省电白二建集团有限公司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  <w:t>清华科技园广州创新基地-六期项目（临时建筑6栋）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清华科技园广州创新基地-六期项目（临时建筑6栋）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番禺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  <w:t>区</w:t>
            </w: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  <w:t>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W w:w="13988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2" w:type="dxa"/>
          <w:trHeight w:val="65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广州市南沙区东涌镇中心幼儿园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美的云筑分园：教学楼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广州市南沙区东涌镇同兴路46号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  <w:t>南沙区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default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广东省气象防灾技术服务中心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  <w:t>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W w:w="13988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2" w:type="dxa"/>
          <w:trHeight w:val="201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广州市南沙东涌中学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宿舍楼、学生宿舍楼、高中教学楼2、教学楼、食堂、体育馆、综合楼、高教一、电教楼、初教二、初教一、图书馆、实验楼一、实验楼二、行政楼、连廊、门卫、电房1-2、舞台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广州市南沙区东涌镇和乐路1号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  <w:t>南沙区</w:t>
            </w:r>
          </w:p>
        </w:tc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  <w:t>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W w:w="13988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2" w:type="dxa"/>
          <w:trHeight w:val="9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default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中国石油天然气股份有限公司广东广州业丰加油站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加油亭、静电夹、加油机、油罐 电房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广州市花都区新华街107国道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花都区</w:t>
            </w:r>
          </w:p>
        </w:tc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  <w:t>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W w:w="13988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2" w:type="dxa"/>
          <w:trHeight w:val="66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广州市番禺污水治理有限公司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番禺区洛溪岛污水管网首期工程及南浦岛污水主干管网工程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番禺区南浦岛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番禺区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default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广东稳固检测鉴定有限公司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default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示意图与现场不一致（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示意图中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泵房长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26.257m、宽18.876m，实测长约22.00m、宽约15.00m，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示意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图中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配电房长33.2m、宽22.2m，实测长约16.00m、宽约11.00m）。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W w:w="13988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2" w:type="dxa"/>
          <w:trHeight w:val="9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广州市番禺区大龙街旧水坑村股份合作经济社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旧水坑村丰达二工场（梦都美厂房改造重建工程）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广州市番禺区大龙街道旧村东路6号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番禺区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hAnsi="仿宋" w:cs="仿宋" w:hint="default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江苏华云防雷检测有限公司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W w:w="13988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2" w:type="dxa"/>
          <w:trHeight w:val="91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广州市天河区宝翠幼儿园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教学楼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广州市天河区员村山顶街1号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天河区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default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佛山市气象公共服务中心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部分检测信息与现场情况不一致（天面上的铝合金门窗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未在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检测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报告示意图上体现）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W w:w="13988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2" w:type="dxa"/>
          <w:trHeight w:val="140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广州市番禺区大龙街旧水坑村股份合作经济社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广州市番禺区旧水坑丰达电机厂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广州市番禺区大龙街</w:t>
            </w:r>
            <w:bookmarkStart w:id="0" w:name="_GoBack"/>
            <w:bookmarkEnd w:id="0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番禺区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eastAsia="仿宋" w:hAnsi="仿宋" w:cs="仿宋" w:hint="default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湖南新中天防雷检测中心有限公司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  <w:t>部分检测信息与现场情况不一致（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含浸室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  <w:t>金属栏杆位置错误，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检测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  <w:t>报告中为“天面”，实际现场中位于地面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危险品仓库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  <w:t>金属门窗等电位的内容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未在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检测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  <w:t>报告中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体现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）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  <w:t>。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W w:w="13988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2" w:type="dxa"/>
          <w:trHeight w:val="91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default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广州铁路运输中级法院：广州铁路运输第一法院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广铁法院审判业务大楼项目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广州市番禺区南站东北侧BA050155地块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番禺区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default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中山市防雷设施检测有限公司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示意图与现场不一致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抽查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现场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发现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金属花架未在示意图上体现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）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</w:rPr>
              <w:t>。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W w:w="13988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2" w:type="dxa"/>
          <w:trHeight w:val="78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default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广州市番禺百龙电子科技有限公司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厂房工程1幢（自编名广州巨大设计创意产业基地-3栋）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广州市番禺区大石街石北工业路684号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番禺区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default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吉林省宇泰安全技术服务有限公司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部分检测信息与现场情况不一致（部分引下线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与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接地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装置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不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连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通，现场用钳表测试引下线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的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环路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电阻分别为：540Ω、700Ω、750Ω）。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W w:w="13988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2" w:type="dxa"/>
          <w:trHeight w:val="104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default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广东南湖旅游中心有限公司白云湖畔酒店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主楼、设备房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广州市白云区南湖中路1号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白云区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本溪普天防雷检测有限公司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W w:w="13988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2" w:type="dxa"/>
          <w:trHeight w:val="9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default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中国电建市政建设集团有限公司广东佛清从高速公路施工五分部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梁场，钢筋厂（内置门机5架）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广州市从化区鳌头镇汾水村(神祺公路 4561#)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从化区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default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甘肃诚邦防雷检测有限公司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部分检测信息与现场情况不一致（梁场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的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金属轨道等电位连接和接地措施未在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检测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报告中体现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）。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W w:w="13988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2" w:type="dxa"/>
          <w:trHeight w:val="148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default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广东桐悦网络科技有限公司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天河区天河科技园高唐新建区AT0305146地块趣炫总部项目-D栋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广州市天河区新塘街道天河科技园高唐新建区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天河区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广东百立防雷科技有限公司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检测结论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不全面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不明确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或错误（图纸设计中有接闪网格，现场天面无接闪网格，与设计图纸不符合，且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检测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报告内容也未体现该项目，未提出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“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不符合设计要求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”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的意见和结论）。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W w:w="13988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2" w:type="dxa"/>
          <w:trHeight w:val="35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default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广州卫富科技开发有限公司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办公楼、科技研发中心、厂房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广州市从化区经济技术开发区宝泰路12号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从化区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default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广东宏方圆科技有限公司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1.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检测结论不全面、不明确或错误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（平面图未体现引下线，办公楼天面两个梯间顶未安装雷电防护装置，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检测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报告结论为符合，未提出整改意见）；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2.SPD未检测（办公楼、科技研发中心、厂房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现场SPD检测内容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均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未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在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检测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报告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中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体现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3.部分检测信息与现场情况不一致（办公楼接闪带材料规格与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检测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报告内容不一致，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检测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报告中为φ10镀锌圆钢，现场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测量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小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于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φ9mm）。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W w:w="13988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2" w:type="dxa"/>
          <w:trHeight w:val="72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default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广东粤科大厦开发有限公司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25层（部分4层，另设地下室5层）设计商业、办公楼工程1幢（自命名粤科科技金融大厦）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广州市海珠区琶洲街道琶洲A区AH0402247地块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海珠区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广东普天防雷检测有限责任公司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W w:w="13988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2" w:type="dxa"/>
          <w:trHeight w:val="67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default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中汽研汽车检验中心（广州）有限公司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加油站、加油站管理处、罐区、油品库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广州市增城区香山大道39号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增城区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default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广东龙标检测科技有限公司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部分检测信息与现场情况不一致（原始记录和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检测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报告中罐区引下线为“暗敷柱筋引下”，实际为“明敷钢柱引下”）。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W w:w="13988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2" w:type="dxa"/>
          <w:trHeight w:val="7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default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广州市天河区水务设施建设中心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152条黑臭河涌城中村污水治理及自来水改造工程-银河村自来水改造工程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广州市天河区银河村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天河区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default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广东省建筑材料研究院有限公司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W w:w="13988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2" w:type="dxa"/>
          <w:trHeight w:val="72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default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广州高力预拌混凝土有限公司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搅拌站、办公楼、配电房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广州市花都区炭步镇广源路105号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花都区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default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广东水沝淼机电安装工程有限公司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1.示意图与现场不一致（办公楼、搅拌站、配电房等建筑物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引下线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均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未在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检测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报告示意图中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体现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）；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br/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2.部分检测信息与现场情况不一致（办公楼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检测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报告示意图中部分接闪带位置与现场不一致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；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搅拌站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检测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报告中接闪器内容与现场不一致，现场接闪器为金属板，无接闪杆，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检测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报告中为：“暗敷接闪带”和“钢结构接闪杆”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；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现场引下线利用钢柱自身引下，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检测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报告填写为：“暗敷、柱内主筋”）。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W w:w="13988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2" w:type="dxa"/>
          <w:trHeight w:val="92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default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中信建投证券股份有限公司广州黄埔东路证券营业部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东方电气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广州市黄埔区黄埔东路193-203号1-2层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黄埔区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广东西尔立防雷检测有限公司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W w:w="13988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2" w:type="dxa"/>
          <w:trHeight w:val="8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default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广州越秀山体育中心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洪德球场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广州市海珠区厚德路50号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海珠区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广州市气象公共服务中心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W w:w="13988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2" w:type="dxa"/>
          <w:trHeight w:val="92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default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广州市越秀区东方加油站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加油亭、办公楼、加油机、静电夹、地下油罐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广州市越秀区三元里瑶台走马岗岗头大街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越秀区</w:t>
            </w:r>
          </w:p>
        </w:tc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W w:w="13988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2" w:type="dxa"/>
          <w:trHeight w:val="92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default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家利物业管理（广州）有限公司逸翠湾分公司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A6座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广州市荔湾区黄沙大道8号四楼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荔湾区</w:t>
            </w:r>
          </w:p>
        </w:tc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W w:w="13988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2" w:type="dxa"/>
          <w:trHeight w:val="10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default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广州市海珠区气象局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海珠城市生态气象综合观测基地（独立接闪杆）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广州市海珠区科韵南路官洲北苑对面茶洲岗地块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海珠区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default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广州市海珠区气象公共服务中心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W w:w="13988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2" w:type="dxa"/>
          <w:trHeight w:val="358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default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保利物业服务股份有限公司广州林语山庄物业服务中心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广州林语山庄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广州高新技术产业开发区科学城罗南路以北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黄埔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default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广州市建筑材料工业研究所有限公司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1.检测内容或要素不全面（缺少检测项目，仅有接闪杆检测内容，接闪杆检测要素不全，无尺寸规格，部分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接闪带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和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引下线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数据无法溯源）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；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br/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2.原始记录和检测报告部分信息不一致（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两者的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检测依据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不一致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）；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br/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3.检测方法不正确或仪器存在问题（仅使用了接地电阻测试仪，检测仪器不全）；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br/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4.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检测结论不全面、不明确或错误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（检测内容和要素不全面，无法得出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检测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报告结论“合格”）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W w:w="13988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2" w:type="dxa"/>
          <w:trHeight w:val="9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default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广州市城实投资有限公司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广州油制气厂地块住宅楼工程（自编珠江四季花园18#-19#）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广州市天河区珠吉街道岐山路183号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天河区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default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辽宁军科防雷技术有限公司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W w:w="13988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2" w:type="dxa"/>
          <w:trHeight w:val="126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default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广州市东升医院（代建单位：广州市重点公共建设项目管理中心）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广州市老年病康复医院项目二期工程施工总承包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广州市黄埔区暹岗村原颐年园三期用地内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黄埔区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default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辽宁信达检测有限公司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示意图与现场不一致（现场太阳能板、水罐、金属管道、金属线槽、金属通风管道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均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未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在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检测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报告示意图上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体现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）。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  <w:lang w:val="en-US" w:eastAsia="zh-CN"/>
              </w:rPr>
            </w:pPr>
          </w:p>
        </w:tc>
      </w:tr>
      <w:tr>
        <w:tblPrEx>
          <w:tblW w:w="13988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2" w:type="dxa"/>
          <w:trHeight w:val="46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default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广东省人民医院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医技综合楼及地下车库装修改造工程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广州市越秀区大东街道中山二路 106 号（东川路 96 号）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越秀区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default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南通气象科技有限公司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1.检测内容或要素不全面（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长金属线槽检测情况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未在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检测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报告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中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体现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default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2.发现问题未提出整改意见（线路缠绕接闪带及扩音设备安装在接闪杆上，不符合规范要求，未提出整改意见）。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W w:w="13988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2" w:type="dxa"/>
          <w:trHeight w:val="243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default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广州侨绿固废循环利用科技有限公司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污泥脱水机房、主厂房、厌氧罐（4 个）、内燃机房、综合处理车间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广州市白云区太和镇永兴村李坑垃圾填埋厂北侧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白云区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default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山西恩博利雷电防护有限公司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检测内容或要素不全面（主厂房现场天面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明敷接闪网格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未在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检测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报告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中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体现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；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主厂房天面金属爬梯、多台空调主机等较大金属设施等电位连接及接地情况未在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检测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报告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中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体现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；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内燃机房天面冷却设备、金属棚架、百叶箱等较大金属设施等电位连接及接地情况未在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检测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报告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中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体现）。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W w:w="13988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2" w:type="dxa"/>
          <w:trHeight w:val="203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default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广州中海盛安房地产开发有限公司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海珠区石岗路地块项目（自编1#2#3#4#及地下室）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广州市海珠区南石头街道石岗路AH050946地块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海珠区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default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深圳市科安达检测技术有限公司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部分检测信息与现场情况不一致（原始记录和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检测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报告中接闪带为φ12镀锌圆钢，支持卡25*4mm镀锌扁钢，现场实测接闪带φ10镀锌圆钢、支持卡20*4mm镀锌扁钢）。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W w:w="13988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2" w:type="dxa"/>
          <w:trHeight w:val="2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default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增城市科建有限公司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科建智能制造国际创新中心厂房，公建 (自编号4栋，A1～A3)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广州市增城区新塘镇塘美村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增城区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default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徐州市防雷检测有限公司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1.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检测结论不全面、不明确或错误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（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检测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报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告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中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接闪杆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规格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φ10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，检测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结论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应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判定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为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“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不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合格”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，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但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实际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是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勾选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为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“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参考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项”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）；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br/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2.部分检测信息与现场情况不一致（现场金属栏杆未在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检测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报告和示意图上体现）。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W w:w="13988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2" w:type="dxa"/>
          <w:trHeight w:val="122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default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广州市华美英语实验学校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学生宿舍G栋1号楼、2号楼、风雨连廊L-2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广州市天河区凤凰街道华美路23号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天河区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盐城市防雷设施检测有限公司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default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255"/>
                <w:numId w:val="0"/>
              </w:numPr>
              <w:suppressLineNumbers w:val="0"/>
              <w:ind w:left="0" w:firstLine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auto"/>
                <w:sz w:val="22"/>
                <w:szCs w:val="22"/>
                <w:u w:val="none"/>
              </w:rPr>
              <w:t>示意图与现场不一致（天面储水罐、空调主机、消防水</w:t>
            </w:r>
            <w:r>
              <w:rPr>
                <w:rFonts w:ascii="仿宋" w:eastAsia="仿宋" w:hAnsi="仿宋" w:cs="仿宋" w:hint="eastAsia"/>
                <w:color w:val="auto"/>
                <w:sz w:val="22"/>
                <w:szCs w:val="22"/>
                <w:u w:val="none"/>
              </w:rPr>
              <w:t>管未在示意图上体现）。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W w:w="13988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default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凯龙瑞物业管理（上海）有限公司广州分公司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新都会大厦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广州市越秀区中山六路242号-248号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越秀区</w:t>
            </w:r>
          </w:p>
        </w:tc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default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检测内容或要素不全面（天面排风机、金属槽、天线等金属设施未在报告中体现）。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ascii="仿宋" w:eastAsia="仿宋" w:hAnsi="仿宋" w:cs="仿宋" w:hint="eastAsia"/>
          <w:i w:val="0"/>
          <w:iCs w:val="0"/>
          <w:color w:val="auto"/>
          <w:sz w:val="22"/>
          <w:szCs w:val="22"/>
          <w:u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gBorders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历德雅舍">
    <w15:presenceInfo w15:providerId="None" w15:userId="946103213"/>
  </w15:person>
  <w15:person w15:author="申淼钰">
    <w15:presenceInfo w15:providerId="None" w15:userId="945045044"/>
  </w15:person>
  <w15:person w15:author="Administrator">
    <w15:presenceInfo w15:providerId="None" w15:userId="Administrator"/>
  </w15:person>
  <w15:person w15:author="丁艳">
    <w15:presenceInfo w15:providerId="None" w15:userId="40954573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revisionView w:comments="1" w:formatting="1" w:inkAnnotations="1" w:insDel="1" w:markup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131E62"/>
    <w:rsid w:val="003A0BD9"/>
    <w:rsid w:val="00D85FAD"/>
    <w:rsid w:val="0165166E"/>
    <w:rsid w:val="021B4775"/>
    <w:rsid w:val="02EA40F4"/>
    <w:rsid w:val="038165B8"/>
    <w:rsid w:val="046441B2"/>
    <w:rsid w:val="05131E62"/>
    <w:rsid w:val="05D32E0B"/>
    <w:rsid w:val="06420522"/>
    <w:rsid w:val="07CD6CEA"/>
    <w:rsid w:val="08B76FF4"/>
    <w:rsid w:val="0DC02604"/>
    <w:rsid w:val="0E2134EE"/>
    <w:rsid w:val="0E487F9B"/>
    <w:rsid w:val="0E653D88"/>
    <w:rsid w:val="0E96771E"/>
    <w:rsid w:val="0FA75E53"/>
    <w:rsid w:val="0FCF19E6"/>
    <w:rsid w:val="0FFC45AE"/>
    <w:rsid w:val="113900C7"/>
    <w:rsid w:val="12BE0504"/>
    <w:rsid w:val="12F20548"/>
    <w:rsid w:val="13B87DF2"/>
    <w:rsid w:val="15A632C4"/>
    <w:rsid w:val="15BC0160"/>
    <w:rsid w:val="18735C28"/>
    <w:rsid w:val="18DA7EFF"/>
    <w:rsid w:val="1A5A0BE8"/>
    <w:rsid w:val="1A7062AB"/>
    <w:rsid w:val="1B027E29"/>
    <w:rsid w:val="1B0E101B"/>
    <w:rsid w:val="1B357733"/>
    <w:rsid w:val="1B767E33"/>
    <w:rsid w:val="1D115D4F"/>
    <w:rsid w:val="1D650A2E"/>
    <w:rsid w:val="1D6C0F67"/>
    <w:rsid w:val="1F0F007A"/>
    <w:rsid w:val="1F46605D"/>
    <w:rsid w:val="20406100"/>
    <w:rsid w:val="21747135"/>
    <w:rsid w:val="27660207"/>
    <w:rsid w:val="27F967E2"/>
    <w:rsid w:val="28A759AF"/>
    <w:rsid w:val="2BF07260"/>
    <w:rsid w:val="2D0C3A71"/>
    <w:rsid w:val="2D5C3CBA"/>
    <w:rsid w:val="2D695ECB"/>
    <w:rsid w:val="2DDF7B7C"/>
    <w:rsid w:val="2EA03805"/>
    <w:rsid w:val="2F21402B"/>
    <w:rsid w:val="305631AF"/>
    <w:rsid w:val="31802B0D"/>
    <w:rsid w:val="325F114E"/>
    <w:rsid w:val="32E75ED2"/>
    <w:rsid w:val="33DD4F61"/>
    <w:rsid w:val="349F44B0"/>
    <w:rsid w:val="34AF4E17"/>
    <w:rsid w:val="35126D8A"/>
    <w:rsid w:val="352F06DC"/>
    <w:rsid w:val="35B11B01"/>
    <w:rsid w:val="369E17FD"/>
    <w:rsid w:val="37026822"/>
    <w:rsid w:val="374A5F3E"/>
    <w:rsid w:val="37964CEC"/>
    <w:rsid w:val="386E418B"/>
    <w:rsid w:val="3A030C32"/>
    <w:rsid w:val="3A3169BD"/>
    <w:rsid w:val="3ACC70B3"/>
    <w:rsid w:val="3AD37D12"/>
    <w:rsid w:val="3B497682"/>
    <w:rsid w:val="3CE60211"/>
    <w:rsid w:val="3D9D3EE0"/>
    <w:rsid w:val="3E8D1F7B"/>
    <w:rsid w:val="3EBF36E5"/>
    <w:rsid w:val="4059535D"/>
    <w:rsid w:val="409807A5"/>
    <w:rsid w:val="41DC3D99"/>
    <w:rsid w:val="428C4A4E"/>
    <w:rsid w:val="42B11729"/>
    <w:rsid w:val="42DB20B8"/>
    <w:rsid w:val="443A3493"/>
    <w:rsid w:val="44D40A84"/>
    <w:rsid w:val="463C7814"/>
    <w:rsid w:val="484361C4"/>
    <w:rsid w:val="48CD5B0B"/>
    <w:rsid w:val="48DB1376"/>
    <w:rsid w:val="4B3B329D"/>
    <w:rsid w:val="4BE434F5"/>
    <w:rsid w:val="4BE951FE"/>
    <w:rsid w:val="4D1E53DB"/>
    <w:rsid w:val="4E2C140A"/>
    <w:rsid w:val="50E9762D"/>
    <w:rsid w:val="518314A4"/>
    <w:rsid w:val="52376968"/>
    <w:rsid w:val="523D4DE7"/>
    <w:rsid w:val="532B6B50"/>
    <w:rsid w:val="534970BE"/>
    <w:rsid w:val="538C36BF"/>
    <w:rsid w:val="55212C41"/>
    <w:rsid w:val="558B67E2"/>
    <w:rsid w:val="55CE52D3"/>
    <w:rsid w:val="55D804CC"/>
    <w:rsid w:val="561C4DF6"/>
    <w:rsid w:val="56230766"/>
    <w:rsid w:val="59367789"/>
    <w:rsid w:val="59A66091"/>
    <w:rsid w:val="5BA14F77"/>
    <w:rsid w:val="5BD85766"/>
    <w:rsid w:val="5E6573E5"/>
    <w:rsid w:val="5FFB7EBF"/>
    <w:rsid w:val="611B5427"/>
    <w:rsid w:val="6125196B"/>
    <w:rsid w:val="617F32CA"/>
    <w:rsid w:val="61BC3E5A"/>
    <w:rsid w:val="6255577E"/>
    <w:rsid w:val="653C2A02"/>
    <w:rsid w:val="658D7E05"/>
    <w:rsid w:val="67B24ACB"/>
    <w:rsid w:val="6867517A"/>
    <w:rsid w:val="68D35C8A"/>
    <w:rsid w:val="68D63540"/>
    <w:rsid w:val="69680C2A"/>
    <w:rsid w:val="6A927276"/>
    <w:rsid w:val="6AC66249"/>
    <w:rsid w:val="6D710E65"/>
    <w:rsid w:val="6DC156AF"/>
    <w:rsid w:val="6E64456F"/>
    <w:rsid w:val="6EA25DD4"/>
    <w:rsid w:val="6ED93261"/>
    <w:rsid w:val="6F0422A8"/>
    <w:rsid w:val="701B1111"/>
    <w:rsid w:val="70A95663"/>
    <w:rsid w:val="70C5775E"/>
    <w:rsid w:val="71D22C3A"/>
    <w:rsid w:val="71F14FDD"/>
    <w:rsid w:val="722257F8"/>
    <w:rsid w:val="73333D64"/>
    <w:rsid w:val="73835B39"/>
    <w:rsid w:val="73C851D3"/>
    <w:rsid w:val="73CF78E3"/>
    <w:rsid w:val="74192D71"/>
    <w:rsid w:val="757765BE"/>
    <w:rsid w:val="75951281"/>
    <w:rsid w:val="78326016"/>
    <w:rsid w:val="784B5E2A"/>
    <w:rsid w:val="78E90913"/>
    <w:rsid w:val="79FF452F"/>
    <w:rsid w:val="7AB87848"/>
    <w:rsid w:val="7B1A14CE"/>
    <w:rsid w:val="7B9366EF"/>
    <w:rsid w:val="7C003CBB"/>
    <w:rsid w:val="7C8B3EF9"/>
    <w:rsid w:val="7D535200"/>
    <w:rsid w:val="7ED54A72"/>
  </w:rsids>
  <w:docVars>
    <w:docVar w:name="commondata" w:val="eyJoZGlkIjoiZjAwNjY4Yjg3MTRiMDEyNDg2YjM2ZGIxYjk5MzI1OTc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jc w:val="left"/>
    </w:pPr>
    <w:rPr>
      <w:rFonts w:asciiTheme="minorEastAsia" w:eastAsiaTheme="minorEastAsia" w:hAnsiTheme="minorEastAsia" w:cstheme="minorEastAsia"/>
      <w:kern w:val="0"/>
      <w:sz w:val="24"/>
      <w:szCs w:val="24"/>
      <w:lang w:val="en-US" w:eastAsia="zh-CN" w:bidi="ar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microsoft.com/office/2011/relationships/people" Target="peop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3797</Words>
  <Characters>4019</Characters>
  <Application>Microsoft Office Word</Application>
  <DocSecurity>0</DocSecurity>
  <Lines>0</Lines>
  <Paragraphs>0</Paragraphs>
  <ScaleCrop>false</ScaleCrop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申淼钰</dc:creator>
  <cp:lastModifiedBy>历德雅舍</cp:lastModifiedBy>
  <cp:revision>1</cp:revision>
  <dcterms:created xsi:type="dcterms:W3CDTF">2023-01-10T08:48:00Z</dcterms:created>
  <dcterms:modified xsi:type="dcterms:W3CDTF">2023-08-21T07:49:30Z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1E7BB2D45C934299B1FE854E8CDB9CF9_13</vt:lpwstr>
  </property>
  <property fmtid="{D5CDD505-2E9C-101B-9397-08002B2CF9AE}" pid="3" name="KSOProductBuildVer">
    <vt:lpwstr>2052-11.8.2.10229</vt:lpwstr>
  </property>
</Properties>
</file>