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仿宋_GB2312" w:hAnsi="仿宋_GB2312" w:cs="仿宋_GB2312"/>
        </w:rPr>
      </w:pPr>
      <w:r>
        <w:rPr>
          <w:rFonts w:hint="eastAsia"/>
        </w:rPr>
        <w:t>附件</w:t>
      </w:r>
      <w:r>
        <w:t>6</w:t>
      </w:r>
    </w:p>
    <w:p>
      <w:pPr>
        <w:pStyle w:val="4"/>
        <w:ind w:firstLine="198"/>
        <w:rPr>
          <w:rFonts w:hAnsi="Times New Roman"/>
        </w:rPr>
      </w:pPr>
      <w:bookmarkStart w:id="0" w:name="_GoBack"/>
      <w:r>
        <w:rPr>
          <w:rFonts w:hint="eastAsia"/>
        </w:rPr>
        <w:t>资格及有效性审查表</w:t>
      </w:r>
    </w:p>
    <w:bookmarkEnd w:id="0"/>
    <w:tbl>
      <w:tblPr>
        <w:tblStyle w:val="2"/>
        <w:tblW w:w="90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3968"/>
        <w:gridCol w:w="1307"/>
        <w:gridCol w:w="1451"/>
        <w:gridCol w:w="15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2800" w:firstLineChars="100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报价人                        要求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报价文件的完整性，完整的报价文件应包括比选公告中所要求的资料；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报价文件为有效签署；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报价等于或低于比选控制价；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报价文件没有附有采购人不能接受的条件的。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47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结论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pacing w:line="36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注：1. 凡符合以上任何一项情形，在相应方框内打“○”，否则打“X”，只要出现一个“X”，结论均为“不通过”，否则为“通过”。</w:t>
      </w:r>
    </w:p>
    <w:p>
      <w:pPr>
        <w:spacing w:line="36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2.如对本表中某种情形的评审意见不一致时，以评审组过半数成员的意见作为评审组对该情形的认定结论。</w:t>
      </w:r>
    </w:p>
    <w:p>
      <w:pPr>
        <w:spacing w:line="360" w:lineRule="exact"/>
        <w:ind w:firstLine="0" w:firstLineChars="0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35967"/>
    <w:rsid w:val="6743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 w:hAnsiTheme="minorHAnsi" w:cstheme="minorBidi"/>
      <w:kern w:val="2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2019-10-22T00:45:00Z</dcterms:created>
  <dc:creator>江智敏</dc:creator>
  <cp:lastModifiedBy>江智敏</cp:lastModifiedBy>
  <dcterms:modified xsi:type="dcterms:W3CDTF">2019-10-22T00:48:23Z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