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hAnsi="仿宋_GB2312" w:cs="仿宋_GB2312"/>
        </w:rPr>
      </w:pPr>
      <w:r>
        <w:rPr>
          <w:rFonts w:hint="eastAsia"/>
        </w:rPr>
        <w:t>附件6</w:t>
      </w:r>
    </w:p>
    <w:p>
      <w:pPr>
        <w:pStyle w:val="6"/>
        <w:rPr>
          <w:rFonts w:hint="eastAsia"/>
        </w:rPr>
      </w:pPr>
      <w:r>
        <w:rPr>
          <w:rFonts w:hint="eastAsia"/>
        </w:rPr>
        <w:t>资格及有效性审查表</w:t>
      </w:r>
    </w:p>
    <w:tbl>
      <w:tblPr>
        <w:tblStyle w:val="4"/>
        <w:tblW w:w="901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846"/>
        <w:gridCol w:w="1494"/>
        <w:gridCol w:w="1451"/>
        <w:gridCol w:w="15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2800" w:firstLine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报价人                        要求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报价文件的完整性，完整的报价文件应包括比选公告中所要求的资料；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报价文件为有效签署；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报价等于或低于比选控制价；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报价文件没有附有采购人不能接受的条件的。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45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结论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ind w:firstLine="47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注：1. 凡符合以上任何一项情形，在相应方框内打“○”，否则打“X”，只要出现一个“X”，结论均为“不通过”，否则为“通过”。</w:t>
      </w:r>
    </w:p>
    <w:p>
      <w:pPr>
        <w:ind w:firstLine="47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2.如对本表中某种情形的评审意见不一致时，以评审组过半数成员的意见作为评审组对该情形的认定结论。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943D7"/>
    <w:rsid w:val="30D9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2019-10-15T06:09:00Z</dcterms:created>
  <dc:creator>江智敏</dc:creator>
  <cp:lastModifiedBy>江智敏</cp:lastModifiedBy>
  <dcterms:modified xsi:type="dcterms:W3CDTF">2019-10-15T06:12:05Z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