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附件1-1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年华南师范大学附属南沙中学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Fonts w:ascii="仿宋" w:hAnsi="仿宋" w:eastAsia="仿宋"/>
          <w:color w:val="auto"/>
          <w:sz w:val="32"/>
          <w:szCs w:val="32"/>
          <w:highlight w:val="yellow"/>
        </w:rPr>
      </w:pPr>
      <w:r>
        <w:rPr>
          <w:rFonts w:hint="eastAsia" w:ascii="仿宋" w:hAnsi="仿宋" w:eastAsia="仿宋"/>
          <w:sz w:val="32"/>
        </w:rPr>
        <w:t>逸涛雅苑、逸涛半岛、逸涛半岛三期嘉苑、逸涛雅苑四期、南沙城、奥园海景城、创鸿嘉园、珠光御景、广晟海韵兰庭、星河盛世、广晟沁园、</w:t>
      </w:r>
      <w:r>
        <w:rPr>
          <w:rFonts w:hint="eastAsia" w:ascii="仿宋" w:hAnsi="仿宋" w:eastAsia="仿宋"/>
          <w:sz w:val="32"/>
          <w:highlight w:val="none"/>
        </w:rPr>
        <w:t>阳光城丽景湾</w:t>
      </w:r>
      <w:r>
        <w:rPr>
          <w:rFonts w:hint="eastAsia" w:ascii="仿宋" w:hAnsi="仿宋" w:eastAsia="仿宋"/>
          <w:sz w:val="32"/>
        </w:rPr>
        <w:t>、阳光城星悦、阳光城澜悦、阳光城悦然府、阳光城熙然府、富佳花园、裕兴花园、皇家花园、紫茗花园、南北台社区居委（仅限于金洲片区）、金洲村、沙螺湾村、南沙境界、富门花园、小虎村、沙仔村、保利半岛、滨海新城、黄阁</w:t>
      </w:r>
      <w:r>
        <w:rPr>
          <w:rFonts w:hint="eastAsia" w:ascii="仿宋" w:hAnsi="仿宋" w:eastAsia="仿宋"/>
          <w:sz w:val="32"/>
          <w:szCs w:val="32"/>
        </w:rPr>
        <w:t>保利城、留东村、新海村、东风农场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方圆南沙水恋、怡景花园、天宇花园、东悦湾、今洲广场、馨悦花园、时代天逸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丽景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蓝珀湾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备注：公办学校招生范围确定后原则上保持稳定，根据我区学校建设及学位承载能力适时进行调整。</w:t>
      </w: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680EAB-4BB2-48AF-A0B5-A190A0A9166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B4202B-8958-4E42-88ED-FE950CF159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31016D-64CB-4910-A705-73E30F40BD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42974B5-DC3D-46A9-928F-B597B0F796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A391E33-E4E6-4477-8023-0505074C08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162B52-1EAF-4C6F-B212-AA9B1FE7C96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40486828-FC99-4BDA-A050-BEA01547298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E03075C-1EE8-4375-BB18-54F516B6591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4340356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5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2024-05-08T07:47:32Z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