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eastAsia="方正小标宋简体"/>
          <w:color w:val="FF0000"/>
          <w:spacing w:val="-20"/>
          <w:kern w:val="40"/>
          <w:sz w:val="84"/>
          <w:szCs w:val="8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</w:rPr>
        <w:t>附件1-6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年广州外国语学校附属学校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1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color w:val="auto"/>
        </w:rPr>
      </w:pPr>
      <w:r>
        <w:rPr>
          <w:rFonts w:hint="eastAsia" w:ascii="仿宋" w:hAnsi="仿宋" w:eastAsia="仿宋"/>
          <w:color w:val="auto"/>
          <w:sz w:val="32"/>
        </w:rPr>
        <w:t>金苑小区、丰庭花园、滨海半岛、滨海隽城、滨海悦城、滨海御城、碧桂园豪庭、云山诗意、时代云图、翡翠公馆、滨海花园、滨海水晶湾、滨海珺城、广隆苑、心意华庭、星河丹堤、茗荔雅苑、云麓半山、中大城、板头村、大冲村（大涌村）、广隆村、越秀天珹、</w:t>
      </w:r>
      <w:r>
        <w:rPr>
          <w:rFonts w:hint="eastAsia" w:ascii="仿宋" w:hAnsi="仿宋" w:eastAsia="仿宋"/>
          <w:color w:val="auto"/>
          <w:sz w:val="32"/>
          <w:szCs w:val="32"/>
        </w:rPr>
        <w:t>中盈一海里、富力天海湾、通大旭日园、红岭社区居委、新隆苑、星河智荟、升龙臻府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韶悦花园、兆展苑</w:t>
      </w:r>
      <w:r>
        <w:rPr>
          <w:rFonts w:hint="eastAsia" w:ascii="仿宋" w:hAnsi="仿宋" w:eastAsia="仿宋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备注：公办学校招生范围确定后原则上保持稳定，根据我区学校建设及学位</w:t>
      </w:r>
      <w:r>
        <w:rPr>
          <w:rFonts w:hint="eastAsia" w:ascii="仿宋" w:hAnsi="仿宋" w:eastAsia="仿宋"/>
          <w:color w:val="auto"/>
          <w:sz w:val="28"/>
          <w:szCs w:val="22"/>
        </w:rPr>
        <w:t>承载能力</w:t>
      </w:r>
      <w:r>
        <w:rPr>
          <w:rFonts w:hint="eastAsia" w:ascii="仿宋" w:hAnsi="仿宋" w:eastAsia="仿宋"/>
          <w:color w:val="auto"/>
          <w:sz w:val="28"/>
          <w:szCs w:val="28"/>
        </w:rPr>
        <w:t>适时进行调整。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spacing w:line="560" w:lineRule="exact"/>
        <w:ind w:right="382" w:rightChars="182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9326AA-01B3-40C7-87B7-E1FA7D661F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0E752C-4A4B-4298-AD9E-846DC0F9F1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5E38561-C399-409C-B586-A2DB95FDB2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E53E4A4-F39A-4CB8-8EE3-786725DC46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F35EC4-D958-48C4-8304-EA8CF33903B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2448D6C-DA8C-4E46-9765-49084C9F5C8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75F5CA8-674C-4998-8117-0743734026C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F1A01BB7-143A-4E1E-BCC1-ADDFB781705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F3E4D953-6174-4D2B-83A4-467416AA9E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78C0BA1D-BB80-449E-9C8D-B56E55785C2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5529D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2024-05-08T07:53:33Z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