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</w:rPr>
        <w:t>附件1-7</w:t>
      </w:r>
    </w:p>
    <w:p>
      <w:pPr>
        <w:widowControl/>
        <w:jc w:val="left"/>
        <w:rPr>
          <w:rFonts w:hint="eastAsia" w:ascii="黑体" w:hAnsi="黑体" w:eastAsia="黑体" w:cs="黑体"/>
          <w:color w:val="auto"/>
          <w:sz w:val="32"/>
        </w:rPr>
      </w:pPr>
    </w:p>
    <w:p>
      <w:pPr>
        <w:spacing w:line="560" w:lineRule="exact"/>
        <w:ind w:firstLine="63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年广州市南沙区滨海实验学校</w:t>
      </w:r>
    </w:p>
    <w:p>
      <w:pPr>
        <w:spacing w:line="560" w:lineRule="exact"/>
        <w:ind w:firstLine="63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spacing w:line="560" w:lineRule="exact"/>
        <w:ind w:firstLine="630"/>
        <w:jc w:val="center"/>
        <w:rPr>
          <w:rFonts w:ascii="微软雅黑" w:hAnsi="仿宋" w:eastAsia="微软雅黑"/>
          <w:color w:val="auto"/>
          <w:sz w:val="44"/>
          <w:szCs w:val="44"/>
        </w:rPr>
      </w:pPr>
    </w:p>
    <w:p>
      <w:pPr>
        <w:ind w:firstLine="640" w:firstLineChars="200"/>
        <w:rPr>
          <w:rFonts w:ascii="楷体" w:hAnsi="楷体" w:eastAsia="仿宋" w:cs="楷体"/>
          <w:color w:val="auto"/>
          <w:kern w:val="0"/>
          <w:sz w:val="32"/>
          <w:szCs w:val="32"/>
          <w:u w:val="single"/>
        </w:rPr>
      </w:pPr>
      <w:r>
        <w:rPr>
          <w:rFonts w:hint="eastAsia" w:ascii="仿宋" w:hAnsi="仿宋" w:eastAsia="仿宋"/>
          <w:color w:val="auto"/>
          <w:sz w:val="32"/>
        </w:rPr>
        <w:t>万科府前花园、龙光棕榈水岸、叠翠峰、璧珑湾、蕉门村</w:t>
      </w:r>
      <w:r>
        <w:rPr>
          <w:rFonts w:hint="eastAsia" w:ascii="仿宋" w:hAnsi="仿宋" w:eastAsia="仿宋"/>
          <w:color w:val="auto"/>
          <w:sz w:val="32"/>
          <w:szCs w:val="32"/>
        </w:rPr>
        <w:t>、</w:t>
      </w:r>
      <w:r>
        <w:rPr>
          <w:rFonts w:hint="eastAsia" w:ascii="仿宋" w:hAnsi="仿宋" w:eastAsia="仿宋"/>
          <w:color w:val="auto"/>
          <w:sz w:val="32"/>
        </w:rPr>
        <w:t>坦尾村</w:t>
      </w:r>
      <w:r>
        <w:rPr>
          <w:rFonts w:hint="eastAsia" w:ascii="仿宋" w:hAnsi="仿宋" w:eastAsia="仿宋"/>
          <w:color w:val="auto"/>
          <w:sz w:val="32"/>
          <w:szCs w:val="32"/>
        </w:rPr>
        <w:t>、</w:t>
      </w:r>
      <w:r>
        <w:rPr>
          <w:rFonts w:hint="eastAsia" w:ascii="仿宋" w:hAnsi="仿宋" w:eastAsia="仿宋"/>
          <w:color w:val="auto"/>
          <w:sz w:val="32"/>
        </w:rPr>
        <w:t>东湾村</w:t>
      </w:r>
      <w:r>
        <w:rPr>
          <w:rFonts w:hint="eastAsia" w:ascii="仿宋" w:hAnsi="仿宋" w:eastAsia="仿宋"/>
          <w:color w:val="auto"/>
          <w:sz w:val="32"/>
          <w:szCs w:val="32"/>
        </w:rPr>
        <w:t>、</w:t>
      </w:r>
      <w:r>
        <w:rPr>
          <w:rFonts w:hint="eastAsia" w:ascii="仿宋" w:hAnsi="仿宋" w:eastAsia="仿宋"/>
          <w:color w:val="auto"/>
          <w:sz w:val="32"/>
        </w:rPr>
        <w:t>颐德湾尚、金茂湾、</w:t>
      </w:r>
      <w:r>
        <w:rPr>
          <w:rFonts w:hint="eastAsia" w:ascii="仿宋" w:hAnsi="仿宋" w:eastAsia="仿宋"/>
          <w:color w:val="auto"/>
          <w:sz w:val="32"/>
          <w:szCs w:val="32"/>
        </w:rPr>
        <w:t>海语熙岸。</w:t>
      </w:r>
    </w:p>
    <w:p>
      <w:pPr>
        <w:spacing w:line="580" w:lineRule="exact"/>
        <w:ind w:right="11"/>
        <w:rPr>
          <w:rFonts w:ascii="仿宋" w:hAnsi="仿宋" w:eastAsia="仿宋"/>
          <w:color w:val="auto"/>
          <w:sz w:val="32"/>
        </w:rPr>
      </w:pPr>
    </w:p>
    <w:p>
      <w:pPr>
        <w:rPr>
          <w:rFonts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备注：1.学校不具备住宿条件。</w:t>
      </w:r>
    </w:p>
    <w:p>
      <w:pPr>
        <w:numPr>
          <w:ilvl w:val="0"/>
          <w:numId w:val="1"/>
        </w:numPr>
        <w:ind w:left="1118" w:leftChars="399" w:hanging="280" w:hangingChars="100"/>
        <w:rPr>
          <w:rFonts w:hint="eastAsia"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公办学校招生范围确定后原则上保持稳定，根据我区学校建设及学位承载能力适时进行调整。</w:t>
      </w:r>
    </w:p>
    <w:p>
      <w:pPr>
        <w:spacing w:line="560" w:lineRule="exact"/>
        <w:ind w:right="382" w:rightChars="182" w:firstLine="274" w:firstLineChars="98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39D29E-BF99-4986-955B-2FF83800B1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8280EF-6326-41EF-93D3-F428F08E7F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3402CB-44EF-4E3F-8B2A-F15242361F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5CA96A4-A705-46F7-8A2B-8F38A1DC18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7C2E94-B2D3-440E-B64C-4C425C1CA6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255194-AB7E-411A-9288-FB5C008AF6F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09579C9-5B12-44A9-954B-BA91A04B111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8C7D976-7D33-404C-95F0-6051D3FE89B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47DEAA5-D2F0-48D0-BCFF-3157A9E19C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E44B237-BC02-450C-B6C8-BE4908D45FF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1" w:fontKey="{C971E1BE-9691-474C-8C0D-08B40EE8AA9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66E468"/>
    <w:multiLevelType w:val="singleLevel"/>
    <w:tmpl w:val="D166E46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3314EA5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2024-05-08T07:54:24Z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