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ind w:left="2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left="2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广州市城乡居民</w:t>
      </w:r>
      <w:r>
        <w:rPr>
          <w:rFonts w:hint="eastAsia" w:eastAsia="方正小标宋简体"/>
          <w:sz w:val="44"/>
          <w:szCs w:val="44"/>
        </w:rPr>
        <w:t>社会</w:t>
      </w:r>
      <w:r>
        <w:rPr>
          <w:rFonts w:eastAsia="方正小标宋简体"/>
          <w:sz w:val="44"/>
          <w:szCs w:val="44"/>
        </w:rPr>
        <w:t>医疗保险办法</w:t>
      </w:r>
    </w:p>
    <w:p>
      <w:pPr>
        <w:adjustRightInd w:val="0"/>
        <w:snapToGrid w:val="0"/>
        <w:spacing w:line="560" w:lineRule="exact"/>
        <w:ind w:left="2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（征求意见稿）</w:t>
      </w:r>
      <w:r>
        <w:rPr>
          <w:rFonts w:hint="eastAsia" w:eastAsia="方正小标宋简体"/>
          <w:sz w:val="44"/>
          <w:szCs w:val="44"/>
          <w:lang w:val="en-US" w:eastAsia="zh-CN"/>
        </w:rPr>
        <w:t>起草</w:t>
      </w:r>
      <w:r>
        <w:rPr>
          <w:rFonts w:eastAsia="方正小标宋简体"/>
          <w:sz w:val="44"/>
          <w:szCs w:val="44"/>
        </w:rPr>
        <w:t>说明</w:t>
      </w:r>
      <w:bookmarkEnd w:id="0"/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为进一步健全完善广州市城乡居民医疗保险（以下简称城乡居民医保）制度体系，保障参保群众基本医疗保障权益，</w:t>
      </w:r>
      <w:r>
        <w:rPr>
          <w:rFonts w:hint="eastAsia" w:ascii="Times New Roman" w:hAnsi="Times New Roman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月底修订出台了</w:t>
      </w:r>
      <w:r>
        <w:rPr>
          <w:rFonts w:eastAsia="仿宋_GB2312"/>
          <w:sz w:val="32"/>
          <w:szCs w:val="32"/>
        </w:rPr>
        <w:t>《广州市人民政府办公厅关于印发广州市城乡居民</w:t>
      </w:r>
      <w:r>
        <w:rPr>
          <w:rFonts w:hint="eastAsia" w:eastAsia="仿宋_GB2312"/>
          <w:sz w:val="32"/>
          <w:szCs w:val="32"/>
          <w:lang w:val="en-US" w:eastAsia="zh-CN"/>
        </w:rPr>
        <w:t>社会</w:t>
      </w:r>
      <w:r>
        <w:rPr>
          <w:rFonts w:eastAsia="仿宋_GB2312"/>
          <w:sz w:val="32"/>
          <w:szCs w:val="32"/>
        </w:rPr>
        <w:t>医疗保险办法的通知》（穗府办</w:t>
      </w:r>
      <w:r>
        <w:rPr>
          <w:rFonts w:hint="eastAsia" w:eastAsia="仿宋_GB2312"/>
          <w:sz w:val="32"/>
          <w:szCs w:val="32"/>
        </w:rPr>
        <w:t>规</w:t>
      </w:r>
      <w:r>
        <w:rPr>
          <w:rFonts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</w:rPr>
        <w:t>，以下简称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号文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7"/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号文将于今年底到期，为持续做好广大参保群众基本医疗保障工作，确保政策延续性和稳定性，根据国家、省有关要求，结合我市实际，现进行到期修订。</w:t>
      </w:r>
    </w:p>
    <w:p>
      <w:pPr>
        <w:pStyle w:val="7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本次修订</w:t>
      </w:r>
      <w:r>
        <w:rPr>
          <w:rFonts w:hint="eastAsia" w:eastAsia="仿宋_GB2312"/>
          <w:bCs/>
          <w:sz w:val="32"/>
          <w:szCs w:val="32"/>
        </w:rPr>
        <w:t>原则主要是基本延续现有筹资待遇政策规定</w:t>
      </w:r>
      <w:r>
        <w:rPr>
          <w:rFonts w:eastAsia="仿宋_GB2312"/>
          <w:bCs/>
          <w:sz w:val="32"/>
          <w:szCs w:val="32"/>
        </w:rPr>
        <w:t>，</w:t>
      </w:r>
      <w:r>
        <w:rPr>
          <w:rFonts w:hint="eastAsia" w:eastAsia="仿宋_GB2312"/>
          <w:bCs/>
          <w:sz w:val="32"/>
          <w:szCs w:val="32"/>
        </w:rPr>
        <w:t>落实最新国家医疗保障待遇清单要求，优化完善部分经办管理规定等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本次</w:t>
      </w:r>
      <w:r>
        <w:rPr>
          <w:rFonts w:eastAsia="黑体"/>
          <w:sz w:val="32"/>
          <w:szCs w:val="32"/>
        </w:rPr>
        <w:t>主要修订内容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eastAsia="楷体_GB2312"/>
          <w:b/>
          <w:sz w:val="32"/>
          <w:szCs w:val="32"/>
        </w:rPr>
        <w:t>）延续现行缴费</w:t>
      </w:r>
      <w:r>
        <w:rPr>
          <w:rFonts w:hint="eastAsia" w:eastAsia="楷体_GB2312"/>
          <w:b/>
          <w:sz w:val="32"/>
          <w:szCs w:val="32"/>
          <w:lang w:val="en-US" w:eastAsia="zh-CN"/>
        </w:rPr>
        <w:t>标准</w:t>
      </w:r>
      <w:r>
        <w:rPr>
          <w:rFonts w:hint="eastAsia" w:eastAsia="楷体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现行</w:t>
      </w:r>
      <w:r>
        <w:rPr>
          <w:rFonts w:hint="eastAsia" w:eastAsia="仿宋_GB2312"/>
          <w:sz w:val="32"/>
          <w:szCs w:val="32"/>
        </w:rPr>
        <w:t>城乡居民医保</w:t>
      </w:r>
      <w:r>
        <w:rPr>
          <w:rFonts w:eastAsia="仿宋_GB2312"/>
          <w:sz w:val="32"/>
          <w:szCs w:val="32"/>
        </w:rPr>
        <w:t>缴费</w:t>
      </w:r>
      <w:r>
        <w:rPr>
          <w:rFonts w:hint="eastAsia" w:eastAsia="仿宋_GB2312"/>
          <w:sz w:val="32"/>
          <w:szCs w:val="32"/>
        </w:rPr>
        <w:t>基数、</w:t>
      </w:r>
      <w:r>
        <w:rPr>
          <w:rFonts w:eastAsia="仿宋_GB2312"/>
          <w:sz w:val="32"/>
          <w:szCs w:val="32"/>
        </w:rPr>
        <w:t>费率以及缴费分担比例，较好均衡了个人和政府缴费责任，实现了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收支平衡、略有结余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基金管理目标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为维持政策稳定性，</w:t>
      </w:r>
      <w:r>
        <w:rPr>
          <w:rFonts w:hint="eastAsia" w:eastAsia="仿宋_GB2312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sz w:val="32"/>
          <w:szCs w:val="32"/>
        </w:rPr>
        <w:t>《广东省医疗保障局 广东省财政厅 国家税务总局广东省税务局转发国家医保局 财政部 国家税务总局关于做好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年城乡居民基本医疗保障工作的通知》（粤医保发〔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号）</w:t>
      </w:r>
      <w:r>
        <w:rPr>
          <w:rFonts w:hint="eastAsia" w:eastAsia="仿宋_GB2312"/>
          <w:sz w:val="32"/>
          <w:szCs w:val="32"/>
          <w:lang w:val="en-US" w:eastAsia="zh-CN"/>
        </w:rPr>
        <w:t>有关规定，</w:t>
      </w:r>
      <w:r>
        <w:rPr>
          <w:rFonts w:eastAsia="仿宋_GB2312"/>
          <w:sz w:val="32"/>
          <w:szCs w:val="32"/>
        </w:rPr>
        <w:t>继续执行现有缴费基数、费率以及缴费分担比例</w:t>
      </w:r>
      <w:r>
        <w:rPr>
          <w:rFonts w:hint="eastAsia" w:eastAsia="仿宋_GB2312"/>
          <w:sz w:val="32"/>
          <w:szCs w:val="32"/>
        </w:rPr>
        <w:t>。具体条款见第八条。</w:t>
      </w:r>
    </w:p>
    <w:p>
      <w:pPr>
        <w:spacing w:line="560" w:lineRule="exact"/>
        <w:ind w:right="11"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eastAsia="楷体_GB2312"/>
          <w:b/>
          <w:sz w:val="32"/>
          <w:szCs w:val="32"/>
        </w:rPr>
        <w:t>）根据实际工作需要，明确有关具体管理规定。一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明确跨年度参保登记的新生儿</w:t>
      </w:r>
      <w:r>
        <w:rPr>
          <w:rFonts w:hint="eastAsia" w:eastAsia="仿宋_GB2312"/>
          <w:sz w:val="32"/>
          <w:szCs w:val="32"/>
        </w:rPr>
        <w:t>，只选择缴交一个居民医保年度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待遇规定。</w:t>
      </w:r>
      <w:r>
        <w:rPr>
          <w:rFonts w:hint="eastAsia" w:eastAsia="仿宋_GB2312"/>
          <w:sz w:val="32"/>
          <w:szCs w:val="32"/>
        </w:rPr>
        <w:t>二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增加春季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入学学生参保规定。</w:t>
      </w:r>
      <w:r>
        <w:rPr>
          <w:rFonts w:hint="eastAsia" w:eastAsia="仿宋_GB2312"/>
          <w:sz w:val="32"/>
          <w:szCs w:val="32"/>
        </w:rPr>
        <w:t>三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允许父母双方均为本市户籍的新出生婴儿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可在出生前办理预参保缴费。具体修订条款见第十五条。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eastAsia="楷体_GB2312"/>
          <w:b/>
          <w:sz w:val="32"/>
          <w:szCs w:val="32"/>
        </w:rPr>
        <w:t>）对标国家待遇清单要求，提高未成年人及在校学生门诊报销比例。</w:t>
      </w:r>
      <w:r>
        <w:rPr>
          <w:rFonts w:hint="eastAsia" w:eastAsia="仿宋_GB2312"/>
          <w:sz w:val="32"/>
          <w:szCs w:val="32"/>
        </w:rPr>
        <w:t>根据《国家医保局 财政部关于建立医疗保障待遇清单制度的意见》（医保发</w:t>
      </w:r>
      <w:r>
        <w:rPr>
          <w:rFonts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号）“对于起付标准以上、最高支付限额以下的政策范围内费用，居民医保门诊统筹支付比例不低于</w:t>
      </w:r>
      <w:r>
        <w:rPr>
          <w:rFonts w:hint="eastAsia" w:ascii="Times New Roman" w:hAnsi="Times New Roman"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>%”的规定，对未成年人及在校学生</w:t>
      </w:r>
      <w:r>
        <w:rPr>
          <w:rFonts w:eastAsia="仿宋_GB2312"/>
          <w:sz w:val="32"/>
          <w:szCs w:val="32"/>
        </w:rPr>
        <w:t>未经选定基层医疗机构转诊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直接到选定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其他医疗机构和指定专科医疗机构</w:t>
      </w:r>
      <w:r>
        <w:rPr>
          <w:rFonts w:hint="eastAsia" w:eastAsia="仿宋_GB2312"/>
          <w:sz w:val="32"/>
          <w:szCs w:val="32"/>
        </w:rPr>
        <w:t>进行普通门诊就医发生的医疗费用，报销比例由</w:t>
      </w:r>
      <w:r>
        <w:rPr>
          <w:rFonts w:hint="eastAsia" w:ascii="Times New Roman" w:hAnsi="Times New Roman" w:eastAsia="仿宋_GB2312"/>
          <w:sz w:val="32"/>
          <w:szCs w:val="32"/>
        </w:rPr>
        <w:t>40</w:t>
      </w:r>
      <w:r>
        <w:rPr>
          <w:rFonts w:hint="eastAsia" w:eastAsia="仿宋_GB2312"/>
          <w:sz w:val="32"/>
          <w:szCs w:val="32"/>
        </w:rPr>
        <w:t>%提高至</w:t>
      </w:r>
      <w:r>
        <w:rPr>
          <w:rFonts w:hint="eastAsia" w:ascii="Times New Roman" w:hAnsi="Times New Roman"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>%；</w:t>
      </w:r>
      <w:r>
        <w:rPr>
          <w:rFonts w:eastAsia="仿宋_GB2312"/>
          <w:sz w:val="32"/>
          <w:szCs w:val="32"/>
        </w:rPr>
        <w:t>经选定基层医疗机构转诊后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在选定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其他医疗机构和指定专科医疗机构</w:t>
      </w:r>
      <w:r>
        <w:rPr>
          <w:rFonts w:hint="eastAsia" w:eastAsia="仿宋_GB2312"/>
          <w:sz w:val="32"/>
          <w:szCs w:val="32"/>
        </w:rPr>
        <w:t>进行普通门诊</w:t>
      </w:r>
      <w:r>
        <w:rPr>
          <w:rFonts w:eastAsia="仿宋_GB2312"/>
          <w:sz w:val="32"/>
          <w:szCs w:val="32"/>
        </w:rPr>
        <w:t>就医</w:t>
      </w:r>
      <w:r>
        <w:rPr>
          <w:rFonts w:hint="eastAsia" w:eastAsia="仿宋_GB2312"/>
          <w:sz w:val="32"/>
          <w:szCs w:val="32"/>
        </w:rPr>
        <w:t>的，报销比例由</w:t>
      </w:r>
      <w:r>
        <w:rPr>
          <w:rFonts w:hint="eastAsia" w:ascii="Times New Roman" w:hAnsi="Times New Roman"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>%提高至</w:t>
      </w:r>
      <w:r>
        <w:rPr>
          <w:rFonts w:hint="eastAsia" w:ascii="Times New Roman" w:hAnsi="Times New Roman" w:eastAsia="仿宋_GB2312"/>
          <w:sz w:val="32"/>
          <w:szCs w:val="32"/>
        </w:rPr>
        <w:t>55</w:t>
      </w:r>
      <w:r>
        <w:rPr>
          <w:rFonts w:hint="eastAsia" w:eastAsia="仿宋_GB2312"/>
          <w:sz w:val="32"/>
          <w:szCs w:val="32"/>
        </w:rPr>
        <w:t>%。具体条款见第二十二条。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四</w:t>
      </w:r>
      <w:r>
        <w:rPr>
          <w:rFonts w:hint="eastAsia" w:eastAsia="楷体_GB2312"/>
          <w:b/>
          <w:sz w:val="32"/>
          <w:szCs w:val="32"/>
        </w:rPr>
        <w:t>）增加为特殊人群提供便捷服务的要求。</w:t>
      </w:r>
      <w:r>
        <w:rPr>
          <w:rFonts w:hint="eastAsia" w:eastAsia="仿宋_GB2312"/>
          <w:sz w:val="32"/>
          <w:szCs w:val="32"/>
        </w:rPr>
        <w:t>根据《国家医保局 财政部 国家税务总局关于做好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年城乡居民基本医疗保障工作的通知》（医保发〔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32</w:t>
      </w:r>
      <w:r>
        <w:rPr>
          <w:rFonts w:hint="eastAsia" w:eastAsia="仿宋_GB2312"/>
          <w:sz w:val="32"/>
          <w:szCs w:val="32"/>
        </w:rPr>
        <w:t>号）关于“推进医保经办管理服务与网上政务服务平台等有效衔接，坚持传统服务方式与智能服务方式创新并行，提高线上服务适老化水平，优化线下服务模式，保障老年人、重度残疾人等特殊人群顺畅便捷办理业务”的规定，增加如下内容：“</w:t>
      </w:r>
      <w:r>
        <w:rPr>
          <w:rFonts w:eastAsia="仿宋_GB2312"/>
          <w:sz w:val="32"/>
          <w:szCs w:val="32"/>
        </w:rPr>
        <w:t>医疗保障经办机构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社会医疗保险费征收机构等部门应提高线上服务适老化水平，优化线下服务模式，保障老年人、重度残疾人等特殊人群顺畅便捷办理社会医疗保险业务。</w:t>
      </w:r>
      <w:r>
        <w:rPr>
          <w:rFonts w:hint="eastAsia" w:eastAsia="仿宋_GB2312"/>
          <w:sz w:val="32"/>
          <w:szCs w:val="32"/>
        </w:rPr>
        <w:t>” 具体条款见第二十七条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五</w:t>
      </w:r>
      <w:r>
        <w:rPr>
          <w:rFonts w:hint="eastAsia" w:eastAsia="楷体_GB2312"/>
          <w:b/>
          <w:sz w:val="32"/>
          <w:szCs w:val="32"/>
        </w:rPr>
        <w:t>）落实国家要求，整合城乡居民医保适应人群。</w:t>
      </w:r>
      <w:r>
        <w:rPr>
          <w:rFonts w:hint="eastAsia" w:eastAsia="仿宋_GB2312"/>
          <w:b/>
          <w:bCs/>
          <w:spacing w:val="-6"/>
          <w:sz w:val="32"/>
          <w:szCs w:val="32"/>
        </w:rPr>
        <w:t>一是</w:t>
      </w:r>
      <w:r>
        <w:rPr>
          <w:rFonts w:hint="eastAsia" w:eastAsia="仿宋_GB2312"/>
          <w:spacing w:val="-6"/>
          <w:sz w:val="32"/>
          <w:szCs w:val="32"/>
        </w:rPr>
        <w:t>将已在实施执行的</w:t>
      </w:r>
      <w:r>
        <w:rPr>
          <w:rFonts w:eastAsia="仿宋_GB2312"/>
          <w:spacing w:val="-6"/>
          <w:sz w:val="32"/>
          <w:szCs w:val="32"/>
        </w:rPr>
        <w:t>未就业港澳台居民</w:t>
      </w:r>
      <w:r>
        <w:rPr>
          <w:rFonts w:hint="eastAsia" w:eastAsia="仿宋_GB2312"/>
          <w:spacing w:val="-6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广东省人才优粤卡持卡人未就业配偶及子女</w:t>
      </w:r>
      <w:r>
        <w:rPr>
          <w:rFonts w:hint="eastAsia" w:eastAsia="仿宋_GB2312"/>
          <w:spacing w:val="-6"/>
          <w:sz w:val="32"/>
          <w:szCs w:val="32"/>
        </w:rPr>
        <w:t>可参加我市居民医保这些政策整合进《办法》。同时参照省的做法，为进一步吸引和服务保障好高层次人次，根据</w:t>
      </w:r>
      <w:r>
        <w:rPr>
          <w:rFonts w:eastAsia="仿宋_GB2312"/>
          <w:spacing w:val="-6"/>
          <w:sz w:val="32"/>
          <w:szCs w:val="32"/>
        </w:rPr>
        <w:t>《关于印发&lt;广州市高层次人才认定方案&gt;&lt;广州市高层次人才服务保障方案&gt;和&lt;广州市高层次人才培养资助方案&gt;的通知》（穗组字〔</w:t>
      </w:r>
      <w:r>
        <w:rPr>
          <w:rFonts w:ascii="Times New Roman" w:hAnsi="Times New Roman" w:eastAsia="仿宋_GB2312"/>
          <w:spacing w:val="-6"/>
          <w:sz w:val="32"/>
          <w:szCs w:val="32"/>
        </w:rPr>
        <w:t>2017</w:t>
      </w:r>
      <w:r>
        <w:rPr>
          <w:rFonts w:eastAsia="仿宋_GB2312"/>
          <w:spacing w:val="-6"/>
          <w:sz w:val="32"/>
          <w:szCs w:val="32"/>
        </w:rPr>
        <w:t>〕</w:t>
      </w:r>
      <w:r>
        <w:rPr>
          <w:rFonts w:ascii="Times New Roman" w:hAnsi="Times New Roman" w:eastAsia="仿宋_GB2312"/>
          <w:spacing w:val="-6"/>
          <w:sz w:val="32"/>
          <w:szCs w:val="32"/>
        </w:rPr>
        <w:t>98</w:t>
      </w:r>
      <w:r>
        <w:rPr>
          <w:rFonts w:eastAsia="仿宋_GB2312"/>
          <w:spacing w:val="-6"/>
          <w:sz w:val="32"/>
          <w:szCs w:val="32"/>
        </w:rPr>
        <w:t>号）有关要求</w:t>
      </w:r>
      <w:r>
        <w:rPr>
          <w:rFonts w:hint="eastAsia" w:eastAsia="仿宋_GB2312"/>
          <w:spacing w:val="-6"/>
          <w:sz w:val="32"/>
          <w:szCs w:val="32"/>
        </w:rPr>
        <w:t>，允许广州市高层次人才证持有人的</w:t>
      </w:r>
      <w:r>
        <w:rPr>
          <w:rFonts w:eastAsia="仿宋_GB2312"/>
          <w:sz w:val="32"/>
          <w:szCs w:val="32"/>
        </w:rPr>
        <w:t>未就业配偶及子女</w:t>
      </w:r>
      <w:r>
        <w:rPr>
          <w:rFonts w:hint="eastAsia" w:eastAsia="仿宋_GB2312"/>
          <w:sz w:val="32"/>
          <w:szCs w:val="32"/>
        </w:rPr>
        <w:t>参加我市居民医保。</w:t>
      </w:r>
      <w:r>
        <w:rPr>
          <w:rFonts w:hint="eastAsia" w:eastAsia="仿宋_GB2312"/>
          <w:spacing w:val="-6"/>
          <w:sz w:val="32"/>
          <w:szCs w:val="32"/>
        </w:rPr>
        <w:t>二是根据</w:t>
      </w:r>
      <w:r>
        <w:rPr>
          <w:rFonts w:eastAsia="仿宋_GB2312"/>
          <w:spacing w:val="-6"/>
          <w:sz w:val="32"/>
          <w:szCs w:val="32"/>
        </w:rPr>
        <w:t>《中共中央办公厅、国务院办公厅关于加强外国人永久居留</w:t>
      </w:r>
      <w:r>
        <w:rPr>
          <w:rFonts w:eastAsia="仿宋_GB2312"/>
          <w:sz w:val="32"/>
          <w:szCs w:val="32"/>
        </w:rPr>
        <w:t>服务管理的意见</w:t>
      </w:r>
      <w:r>
        <w:rPr>
          <w:rFonts w:hint="eastAsia" w:eastAsia="仿宋_GB2312"/>
          <w:sz w:val="32"/>
          <w:szCs w:val="32"/>
        </w:rPr>
        <w:t>》，将允许</w:t>
      </w:r>
      <w:r>
        <w:rPr>
          <w:rFonts w:eastAsia="仿宋_GB2312"/>
          <w:sz w:val="32"/>
          <w:szCs w:val="32"/>
        </w:rPr>
        <w:t>持有永久居留证外国人</w:t>
      </w:r>
      <w:r>
        <w:rPr>
          <w:rFonts w:hint="eastAsia" w:eastAsia="仿宋_GB2312"/>
          <w:sz w:val="32"/>
          <w:szCs w:val="32"/>
        </w:rPr>
        <w:t>参加我市城乡居民医疗保险这一政策纳入</w:t>
      </w:r>
      <w:r>
        <w:rPr>
          <w:rFonts w:hint="eastAsia" w:eastAsia="仿宋_GB2312"/>
          <w:spacing w:val="-6"/>
          <w:sz w:val="32"/>
          <w:szCs w:val="32"/>
        </w:rPr>
        <w:t>《办法》</w:t>
      </w:r>
      <w:r>
        <w:rPr>
          <w:rFonts w:hint="eastAsia" w:eastAsia="仿宋_GB2312"/>
          <w:sz w:val="32"/>
          <w:szCs w:val="32"/>
        </w:rPr>
        <w:t>。具体修订条款见第二十九条。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309" w:rightChars="-14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公开方式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：主动公开</w:t>
      </w:r>
    </w:p>
    <w:p/>
    <w:sectPr>
      <w:pgSz w:w="11906" w:h="16838"/>
      <w:pgMar w:top="2098" w:right="1474" w:bottom="1984" w:left="1587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758E"/>
    <w:rsid w:val="32C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eastAsia="汉鼎简书宋" w:cs="宋体"/>
      <w:sz w:val="24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next w:val="1"/>
    <w:link w:val="4"/>
    <w:uiPriority w:val="0"/>
    <w:pPr>
      <w:spacing w:line="360" w:lineRule="auto"/>
      <w:ind w:firstLine="200" w:firstLineChars="200"/>
    </w:pPr>
    <w:rPr>
      <w:rFonts w:ascii="宋体" w:hAnsi="宋体" w:eastAsia="汉鼎简书宋" w:cs="宋体"/>
      <w:sz w:val="24"/>
    </w:rPr>
  </w:style>
  <w:style w:type="character" w:styleId="6">
    <w:name w:val="page number"/>
    <w:basedOn w:val="4"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2021-08-04T07:44:00Z</dcterms:created>
  <dc:creator>罗小静</dc:creator>
  <cp:lastModifiedBy>罗小静</cp:lastModifiedBy>
  <dcterms:modified xsi:type="dcterms:W3CDTF">2021-08-04T07:45:00Z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